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1A1B" w14:textId="77777777" w:rsidR="003D169E" w:rsidRDefault="003D169E">
      <w:bookmarkStart w:id="0" w:name="_GoBack"/>
      <w:bookmarkEnd w:id="0"/>
      <w:r>
        <w:rPr>
          <w:noProof/>
          <w:lang w:eastAsia="en-GB"/>
        </w:rPr>
        <w:drawing>
          <wp:inline distT="0" distB="0" distL="0" distR="0" wp14:anchorId="064FB156" wp14:editId="3A52F0E8">
            <wp:extent cx="3645047" cy="2429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bridge_Tourists-near-Kings-College-in-Cambridge-University-Engl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9476" cy="2432462"/>
                    </a:xfrm>
                    <a:prstGeom prst="rect">
                      <a:avLst/>
                    </a:prstGeom>
                  </pic:spPr>
                </pic:pic>
              </a:graphicData>
            </a:graphic>
          </wp:inline>
        </w:drawing>
      </w:r>
    </w:p>
    <w:p w14:paraId="70A4BC80" w14:textId="77777777" w:rsidR="003D169E" w:rsidRPr="003D169E" w:rsidRDefault="003D169E" w:rsidP="0095056C">
      <w:pPr>
        <w:spacing w:after="0"/>
        <w:ind w:right="-302"/>
        <w:jc w:val="center"/>
        <w:rPr>
          <w:rFonts w:ascii="Arial" w:hAnsi="Arial" w:cs="Arial"/>
          <w:b/>
          <w:color w:val="1A7BE6"/>
        </w:rPr>
      </w:pPr>
      <w:r w:rsidRPr="003D169E">
        <w:rPr>
          <w:rFonts w:ascii="Arial" w:hAnsi="Arial" w:cs="Arial"/>
          <w:b/>
          <w:color w:val="1A7BE6"/>
        </w:rPr>
        <w:t>Cambridgeshire County Council Pension Fund</w:t>
      </w:r>
    </w:p>
    <w:p w14:paraId="6BE2D7D7" w14:textId="77777777" w:rsidR="003D169E" w:rsidRPr="003D169E" w:rsidRDefault="003D169E" w:rsidP="00883C87">
      <w:pPr>
        <w:ind w:right="-302"/>
        <w:jc w:val="right"/>
        <w:rPr>
          <w:rFonts w:ascii="Arial" w:hAnsi="Arial" w:cs="Arial"/>
          <w:color w:val="1A7BE6"/>
        </w:rPr>
      </w:pPr>
      <w:r w:rsidRPr="003D169E">
        <w:rPr>
          <w:rFonts w:ascii="Arial" w:hAnsi="Arial" w:cs="Arial"/>
          <w:color w:val="1A7BE6"/>
        </w:rPr>
        <w:t>Year ended 31 March 201</w:t>
      </w:r>
      <w:r w:rsidR="00953573">
        <w:rPr>
          <w:rFonts w:ascii="Arial" w:hAnsi="Arial" w:cs="Arial"/>
          <w:color w:val="1A7BE6"/>
        </w:rPr>
        <w:t>9</w:t>
      </w:r>
    </w:p>
    <w:p w14:paraId="3F522AD9" w14:textId="77777777" w:rsidR="007C502B" w:rsidRPr="00FE65B5" w:rsidRDefault="007C502B" w:rsidP="00A27A3C">
      <w:pPr>
        <w:tabs>
          <w:tab w:val="left" w:pos="4820"/>
        </w:tabs>
        <w:spacing w:after="80"/>
        <w:ind w:right="-301"/>
        <w:rPr>
          <w:sz w:val="20"/>
          <w:szCs w:val="20"/>
        </w:rPr>
      </w:pPr>
      <w:r w:rsidRPr="00FE65B5">
        <w:rPr>
          <w:sz w:val="20"/>
          <w:szCs w:val="20"/>
        </w:rPr>
        <w:t>The Cambridgeshire County Council Pension Fund is a Local Government Pension Fund</w:t>
      </w:r>
      <w:r w:rsidR="00941EEC" w:rsidRPr="00FE65B5">
        <w:rPr>
          <w:sz w:val="20"/>
          <w:szCs w:val="20"/>
        </w:rPr>
        <w:t>,</w:t>
      </w:r>
      <w:r w:rsidRPr="00FE65B5">
        <w:rPr>
          <w:sz w:val="20"/>
          <w:szCs w:val="20"/>
        </w:rPr>
        <w:t xml:space="preserve"> administered </w:t>
      </w:r>
      <w:r w:rsidR="00850745">
        <w:rPr>
          <w:sz w:val="20"/>
          <w:szCs w:val="20"/>
        </w:rPr>
        <w:t>by</w:t>
      </w:r>
      <w:r w:rsidRPr="00FE65B5">
        <w:rPr>
          <w:sz w:val="20"/>
          <w:szCs w:val="20"/>
        </w:rPr>
        <w:t xml:space="preserve"> Cambridgeshire County Council.  Other organisations, suc</w:t>
      </w:r>
      <w:r w:rsidR="00941EEC" w:rsidRPr="00FE65B5">
        <w:rPr>
          <w:sz w:val="20"/>
          <w:szCs w:val="20"/>
        </w:rPr>
        <w:t>h as District and Town Councils</w:t>
      </w:r>
      <w:r w:rsidR="00941EEC" w:rsidRPr="00A27A3C">
        <w:rPr>
          <w:sz w:val="20"/>
          <w:szCs w:val="20"/>
        </w:rPr>
        <w:t>,</w:t>
      </w:r>
      <w:r w:rsidR="00D13497">
        <w:rPr>
          <w:sz w:val="20"/>
          <w:szCs w:val="20"/>
        </w:rPr>
        <w:t xml:space="preserve"> a</w:t>
      </w:r>
      <w:r w:rsidRPr="00A27A3C">
        <w:rPr>
          <w:sz w:val="20"/>
          <w:szCs w:val="20"/>
        </w:rPr>
        <w:t>cademies</w:t>
      </w:r>
      <w:r w:rsidR="00D13497">
        <w:rPr>
          <w:sz w:val="20"/>
          <w:szCs w:val="20"/>
        </w:rPr>
        <w:t>, charities</w:t>
      </w:r>
      <w:r w:rsidRPr="00FE65B5">
        <w:rPr>
          <w:sz w:val="20"/>
          <w:szCs w:val="20"/>
        </w:rPr>
        <w:t xml:space="preserve"> and </w:t>
      </w:r>
      <w:r w:rsidR="00D13497">
        <w:rPr>
          <w:sz w:val="20"/>
          <w:szCs w:val="20"/>
        </w:rPr>
        <w:t xml:space="preserve">outsourced contractors </w:t>
      </w:r>
      <w:r w:rsidRPr="00FE65B5">
        <w:rPr>
          <w:sz w:val="20"/>
          <w:szCs w:val="20"/>
        </w:rPr>
        <w:t xml:space="preserve">are </w:t>
      </w:r>
      <w:r w:rsidR="00850745">
        <w:rPr>
          <w:sz w:val="20"/>
          <w:szCs w:val="20"/>
        </w:rPr>
        <w:t>also employers in</w:t>
      </w:r>
      <w:r w:rsidRPr="00FE65B5">
        <w:rPr>
          <w:sz w:val="20"/>
          <w:szCs w:val="20"/>
        </w:rPr>
        <w:t xml:space="preserve"> the Fund.</w:t>
      </w:r>
    </w:p>
    <w:p w14:paraId="3FFBC280" w14:textId="77777777" w:rsidR="003D169E" w:rsidRDefault="007C502B" w:rsidP="00A27A3C">
      <w:pPr>
        <w:spacing w:after="80"/>
        <w:ind w:right="-301"/>
        <w:rPr>
          <w:sz w:val="20"/>
          <w:szCs w:val="20"/>
        </w:rPr>
      </w:pPr>
      <w:r w:rsidRPr="00FE65B5">
        <w:rPr>
          <w:sz w:val="20"/>
          <w:szCs w:val="20"/>
        </w:rPr>
        <w:t>E</w:t>
      </w:r>
      <w:r w:rsidR="00941EEC" w:rsidRPr="00FE65B5">
        <w:rPr>
          <w:sz w:val="20"/>
          <w:szCs w:val="20"/>
        </w:rPr>
        <w:t>ach year, the Fund publishes it</w:t>
      </w:r>
      <w:r w:rsidRPr="00FE65B5">
        <w:rPr>
          <w:sz w:val="20"/>
          <w:szCs w:val="20"/>
        </w:rPr>
        <w:t>s financial accounts within the County Council’s Statement of Accounts</w:t>
      </w:r>
      <w:r w:rsidR="003D169E">
        <w:rPr>
          <w:sz w:val="20"/>
          <w:szCs w:val="20"/>
        </w:rPr>
        <w:t>, which you can find o</w:t>
      </w:r>
      <w:r w:rsidR="00A27A3C">
        <w:rPr>
          <w:sz w:val="20"/>
          <w:szCs w:val="20"/>
        </w:rPr>
        <w:t>n</w:t>
      </w:r>
      <w:r w:rsidR="003D169E">
        <w:rPr>
          <w:sz w:val="20"/>
          <w:szCs w:val="20"/>
        </w:rPr>
        <w:t xml:space="preserve"> the County Council’s website:</w:t>
      </w:r>
    </w:p>
    <w:p w14:paraId="00DD7EE2" w14:textId="77777777" w:rsidR="003D169E" w:rsidRPr="003D169E" w:rsidRDefault="003C19DB" w:rsidP="00A27A3C">
      <w:pPr>
        <w:tabs>
          <w:tab w:val="left" w:pos="4820"/>
        </w:tabs>
        <w:spacing w:after="80"/>
        <w:ind w:right="-301"/>
        <w:rPr>
          <w:sz w:val="20"/>
          <w:szCs w:val="20"/>
          <w:u w:val="single"/>
        </w:rPr>
      </w:pPr>
      <w:hyperlink r:id="rId10" w:history="1">
        <w:r w:rsidR="003D169E" w:rsidRPr="003D169E">
          <w:rPr>
            <w:rStyle w:val="Hyperlink"/>
            <w:sz w:val="20"/>
            <w:szCs w:val="20"/>
          </w:rPr>
          <w:t>https://www.cambridgeshire.gov.uk/council/finance-and-budget/statement-of-accounts/</w:t>
        </w:r>
      </w:hyperlink>
    </w:p>
    <w:p w14:paraId="19BA6359" w14:textId="77777777" w:rsidR="007C502B" w:rsidRPr="00FE65B5" w:rsidRDefault="007C502B" w:rsidP="00A27A3C">
      <w:pPr>
        <w:tabs>
          <w:tab w:val="left" w:pos="4820"/>
        </w:tabs>
        <w:spacing w:after="80"/>
        <w:ind w:right="-301"/>
        <w:rPr>
          <w:sz w:val="20"/>
          <w:szCs w:val="20"/>
        </w:rPr>
      </w:pPr>
      <w:r w:rsidRPr="00FE65B5">
        <w:rPr>
          <w:sz w:val="20"/>
          <w:szCs w:val="20"/>
        </w:rPr>
        <w:t>The Fund also publishes its Annual Report and Statement of Accounts</w:t>
      </w:r>
      <w:r w:rsidR="00A27A3C">
        <w:rPr>
          <w:sz w:val="20"/>
          <w:szCs w:val="20"/>
        </w:rPr>
        <w:t>,</w:t>
      </w:r>
      <w:r w:rsidRPr="00FE65B5">
        <w:rPr>
          <w:sz w:val="20"/>
          <w:szCs w:val="20"/>
        </w:rPr>
        <w:t xml:space="preserve"> which contains the same financial </w:t>
      </w:r>
      <w:r w:rsidR="0080650B">
        <w:rPr>
          <w:sz w:val="20"/>
          <w:szCs w:val="20"/>
        </w:rPr>
        <w:t>information</w:t>
      </w:r>
      <w:r w:rsidRPr="00FE65B5">
        <w:rPr>
          <w:sz w:val="20"/>
          <w:szCs w:val="20"/>
        </w:rPr>
        <w:t xml:space="preserve"> as </w:t>
      </w:r>
      <w:r w:rsidR="0080650B">
        <w:rPr>
          <w:sz w:val="20"/>
          <w:szCs w:val="20"/>
        </w:rPr>
        <w:t>that within</w:t>
      </w:r>
      <w:r w:rsidRPr="00FE65B5">
        <w:rPr>
          <w:sz w:val="20"/>
          <w:szCs w:val="20"/>
        </w:rPr>
        <w:t xml:space="preserve"> the County Council</w:t>
      </w:r>
      <w:r w:rsidR="0080650B">
        <w:rPr>
          <w:sz w:val="20"/>
          <w:szCs w:val="20"/>
        </w:rPr>
        <w:t xml:space="preserve"> Statement of Accounts</w:t>
      </w:r>
      <w:r w:rsidRPr="00FE65B5">
        <w:rPr>
          <w:sz w:val="20"/>
          <w:szCs w:val="20"/>
        </w:rPr>
        <w:t>, but contains additional information about how the Fund is run and how it has performed over the last year.</w:t>
      </w:r>
    </w:p>
    <w:p w14:paraId="61F0B045" w14:textId="77777777" w:rsidR="007C502B" w:rsidRPr="00FE65B5" w:rsidRDefault="007C502B" w:rsidP="00A27A3C">
      <w:pPr>
        <w:tabs>
          <w:tab w:val="left" w:pos="4820"/>
        </w:tabs>
        <w:spacing w:after="80"/>
        <w:ind w:right="-301"/>
        <w:rPr>
          <w:sz w:val="20"/>
          <w:szCs w:val="20"/>
        </w:rPr>
      </w:pPr>
      <w:r w:rsidRPr="00FE65B5">
        <w:rPr>
          <w:sz w:val="20"/>
          <w:szCs w:val="20"/>
        </w:rPr>
        <w:t>All page numbers in this handout refer to the Pension Fund’s Annual Report and Statement of Accounts, which can be found at the Fund’s Website</w:t>
      </w:r>
      <w:r w:rsidR="003D169E">
        <w:rPr>
          <w:sz w:val="20"/>
          <w:szCs w:val="20"/>
        </w:rPr>
        <w:t>:</w:t>
      </w:r>
    </w:p>
    <w:p w14:paraId="4D33E41F" w14:textId="77777777" w:rsidR="003D169E" w:rsidRDefault="003C19DB" w:rsidP="00A27A3C">
      <w:pPr>
        <w:tabs>
          <w:tab w:val="left" w:pos="4820"/>
        </w:tabs>
        <w:spacing w:after="80"/>
        <w:ind w:right="-301"/>
        <w:rPr>
          <w:rStyle w:val="Hyperlink"/>
          <w:sz w:val="20"/>
          <w:szCs w:val="20"/>
        </w:rPr>
      </w:pPr>
      <w:hyperlink r:id="rId11" w:history="1">
        <w:r w:rsidR="007C502B" w:rsidRPr="00FE65B5">
          <w:rPr>
            <w:rStyle w:val="Hyperlink"/>
            <w:sz w:val="20"/>
            <w:szCs w:val="20"/>
          </w:rPr>
          <w:t>http://pensions.cambridgeshire.gov.uk/governance/key-documents/cambridgeshire/</w:t>
        </w:r>
      </w:hyperlink>
    </w:p>
    <w:p w14:paraId="343F0F14" w14:textId="77777777" w:rsidR="00EA29C7" w:rsidRPr="00EA29C7" w:rsidRDefault="00EA29C7" w:rsidP="00A27A3C">
      <w:pPr>
        <w:tabs>
          <w:tab w:val="left" w:pos="4820"/>
        </w:tabs>
        <w:spacing w:after="80"/>
        <w:ind w:right="-301"/>
        <w:rPr>
          <w:sz w:val="20"/>
          <w:szCs w:val="20"/>
        </w:rPr>
      </w:pPr>
      <w:r w:rsidRPr="00EA29C7">
        <w:rPr>
          <w:sz w:val="20"/>
          <w:szCs w:val="20"/>
        </w:rPr>
        <w:t xml:space="preserve">Words in </w:t>
      </w:r>
      <w:r w:rsidRPr="00EA29C7">
        <w:rPr>
          <w:b/>
          <w:sz w:val="20"/>
          <w:szCs w:val="20"/>
        </w:rPr>
        <w:t>bold</w:t>
      </w:r>
      <w:r w:rsidRPr="00EA29C7">
        <w:rPr>
          <w:sz w:val="20"/>
          <w:szCs w:val="20"/>
        </w:rPr>
        <w:t xml:space="preserve"> are explained in the glossary to the Annual </w:t>
      </w:r>
      <w:r>
        <w:rPr>
          <w:sz w:val="20"/>
          <w:szCs w:val="20"/>
        </w:rPr>
        <w:t>Report and Statement of Accounts</w:t>
      </w:r>
      <w:r w:rsidRPr="00EA29C7">
        <w:rPr>
          <w:sz w:val="20"/>
          <w:szCs w:val="20"/>
        </w:rPr>
        <w:t>.</w:t>
      </w:r>
    </w:p>
    <w:p w14:paraId="278C64D8" w14:textId="77777777" w:rsidR="005B6991" w:rsidRDefault="00B51E6E" w:rsidP="003F2F22">
      <w:pPr>
        <w:spacing w:after="80" w:line="240" w:lineRule="auto"/>
        <w:rPr>
          <w:b/>
          <w:sz w:val="20"/>
          <w:szCs w:val="20"/>
        </w:rPr>
      </w:pPr>
      <w:r>
        <w:rPr>
          <w:b/>
          <w:sz w:val="20"/>
          <w:szCs w:val="20"/>
        </w:rPr>
        <w:br w:type="column"/>
      </w:r>
    </w:p>
    <w:p w14:paraId="52672DB7" w14:textId="77777777" w:rsidR="00B51E6E" w:rsidRPr="00A105C0" w:rsidRDefault="00B51E6E" w:rsidP="00B51E6E">
      <w:pPr>
        <w:spacing w:after="120" w:line="240" w:lineRule="auto"/>
        <w:rPr>
          <w:sz w:val="20"/>
          <w:szCs w:val="20"/>
        </w:rPr>
      </w:pPr>
      <w:r w:rsidRPr="00A105C0">
        <w:rPr>
          <w:sz w:val="20"/>
          <w:szCs w:val="20"/>
        </w:rPr>
        <w:t xml:space="preserve">This handout summarises key areas of the Fund; </w:t>
      </w:r>
      <w:r w:rsidR="00DD39B8" w:rsidRPr="00A105C0">
        <w:rPr>
          <w:sz w:val="20"/>
          <w:szCs w:val="20"/>
        </w:rPr>
        <w:t xml:space="preserve">Contributions and Benefits, </w:t>
      </w:r>
      <w:r w:rsidRPr="00A105C0">
        <w:rPr>
          <w:sz w:val="20"/>
          <w:szCs w:val="20"/>
        </w:rPr>
        <w:t>costs of running the</w:t>
      </w:r>
      <w:r w:rsidR="00DD39B8" w:rsidRPr="00A105C0">
        <w:rPr>
          <w:sz w:val="20"/>
          <w:szCs w:val="20"/>
        </w:rPr>
        <w:t xml:space="preserve"> Fund (Management Expenses),</w:t>
      </w:r>
      <w:r w:rsidRPr="00A105C0">
        <w:rPr>
          <w:sz w:val="20"/>
          <w:szCs w:val="20"/>
        </w:rPr>
        <w:t xml:space="preserve"> Employers and Members of the Fund, </w:t>
      </w:r>
      <w:r w:rsidR="00DD39B8" w:rsidRPr="00A105C0">
        <w:rPr>
          <w:sz w:val="20"/>
          <w:szCs w:val="20"/>
        </w:rPr>
        <w:t xml:space="preserve">Investments, </w:t>
      </w:r>
      <w:r w:rsidRPr="00A105C0">
        <w:rPr>
          <w:sz w:val="20"/>
          <w:szCs w:val="20"/>
        </w:rPr>
        <w:t>and</w:t>
      </w:r>
      <w:r w:rsidR="00DD39B8" w:rsidRPr="00A105C0">
        <w:rPr>
          <w:sz w:val="20"/>
          <w:szCs w:val="20"/>
        </w:rPr>
        <w:t xml:space="preserve"> the Governance of the Fund</w:t>
      </w:r>
      <w:r w:rsidRPr="00A105C0">
        <w:rPr>
          <w:sz w:val="20"/>
          <w:szCs w:val="20"/>
        </w:rPr>
        <w:t>.</w:t>
      </w:r>
    </w:p>
    <w:p w14:paraId="43E06EC5" w14:textId="77777777" w:rsidR="00B51E6E" w:rsidRPr="00B51E6E" w:rsidRDefault="00B51E6E" w:rsidP="00B51E6E">
      <w:pPr>
        <w:spacing w:after="80" w:line="240" w:lineRule="auto"/>
        <w:rPr>
          <w:b/>
          <w:color w:val="002060"/>
          <w:sz w:val="24"/>
          <w:szCs w:val="24"/>
        </w:rPr>
      </w:pPr>
      <w:r w:rsidRPr="00B51E6E">
        <w:rPr>
          <w:b/>
          <w:color w:val="002060"/>
          <w:sz w:val="24"/>
          <w:szCs w:val="24"/>
        </w:rPr>
        <w:t>Contributions and Benefits</w:t>
      </w:r>
    </w:p>
    <w:p w14:paraId="71274B4D" w14:textId="77777777" w:rsidR="00B51E6E" w:rsidRPr="005B6991" w:rsidRDefault="00B51E6E" w:rsidP="00B51E6E">
      <w:pPr>
        <w:spacing w:after="80" w:line="240" w:lineRule="auto"/>
        <w:rPr>
          <w:sz w:val="20"/>
          <w:szCs w:val="20"/>
        </w:rPr>
      </w:pPr>
      <w:r w:rsidRPr="005B6991">
        <w:rPr>
          <w:sz w:val="20"/>
          <w:szCs w:val="20"/>
        </w:rPr>
        <w:t xml:space="preserve">Employers contribute to the Fund in line with rates calculated by the Fund’s </w:t>
      </w:r>
      <w:r w:rsidRPr="00EA29C7">
        <w:rPr>
          <w:b/>
          <w:sz w:val="20"/>
          <w:szCs w:val="20"/>
        </w:rPr>
        <w:t>Actuary</w:t>
      </w:r>
      <w:r w:rsidRPr="005B6991">
        <w:rPr>
          <w:sz w:val="20"/>
          <w:szCs w:val="20"/>
        </w:rPr>
        <w:t xml:space="preserve">. </w:t>
      </w:r>
      <w:r w:rsidR="0080650B">
        <w:rPr>
          <w:sz w:val="20"/>
          <w:szCs w:val="20"/>
        </w:rPr>
        <w:t>Employee rates are set by Government.</w:t>
      </w:r>
    </w:p>
    <w:p w14:paraId="28314820" w14:textId="77777777" w:rsidR="00B51E6E" w:rsidRPr="005B6991" w:rsidRDefault="00B51E6E" w:rsidP="00B51E6E">
      <w:pPr>
        <w:spacing w:after="80" w:line="240" w:lineRule="auto"/>
        <w:rPr>
          <w:sz w:val="20"/>
          <w:szCs w:val="20"/>
        </w:rPr>
      </w:pPr>
      <w:r w:rsidRPr="005B6991">
        <w:rPr>
          <w:sz w:val="20"/>
          <w:szCs w:val="20"/>
        </w:rPr>
        <w:t xml:space="preserve">Contributions and monies transferred into the Fund are used to pay Pensions (Benefits) and Payments to Leavers.  The remaining contributions are then used to pay the running costs of the Fund.  The remaining </w:t>
      </w:r>
      <w:r w:rsidRPr="00EA29C7">
        <w:rPr>
          <w:b/>
          <w:sz w:val="20"/>
          <w:szCs w:val="20"/>
        </w:rPr>
        <w:t>surplus</w:t>
      </w:r>
      <w:r w:rsidRPr="005B6991">
        <w:rPr>
          <w:sz w:val="20"/>
          <w:szCs w:val="20"/>
        </w:rPr>
        <w:t xml:space="preserve"> is invested to </w:t>
      </w:r>
      <w:r w:rsidR="00A27A3C">
        <w:rPr>
          <w:sz w:val="20"/>
          <w:szCs w:val="20"/>
        </w:rPr>
        <w:t>pay for</w:t>
      </w:r>
      <w:r w:rsidRPr="005B6991">
        <w:rPr>
          <w:sz w:val="20"/>
          <w:szCs w:val="20"/>
        </w:rPr>
        <w:t xml:space="preserve"> </w:t>
      </w:r>
      <w:r w:rsidR="00A27A3C" w:rsidRPr="00EA29C7">
        <w:rPr>
          <w:b/>
          <w:sz w:val="20"/>
          <w:szCs w:val="20"/>
        </w:rPr>
        <w:t>accrued</w:t>
      </w:r>
      <w:r w:rsidR="00A27A3C">
        <w:rPr>
          <w:sz w:val="20"/>
          <w:szCs w:val="20"/>
        </w:rPr>
        <w:t xml:space="preserve"> </w:t>
      </w:r>
      <w:r w:rsidRPr="005B6991">
        <w:rPr>
          <w:sz w:val="20"/>
          <w:szCs w:val="20"/>
        </w:rPr>
        <w:t>Pensions.  The table below sets out the Contributions and Benefits for the last two financial years: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38"/>
        <w:gridCol w:w="1418"/>
        <w:gridCol w:w="1427"/>
      </w:tblGrid>
      <w:tr w:rsidR="00B51E6E" w:rsidRPr="005B6991" w14:paraId="7D1235F4" w14:textId="77777777" w:rsidTr="00171B37">
        <w:trPr>
          <w:trHeight w:val="283"/>
        </w:trPr>
        <w:tc>
          <w:tcPr>
            <w:tcW w:w="1838" w:type="dxa"/>
            <w:shd w:val="clear" w:color="auto" w:fill="2F5496" w:themeFill="accent5" w:themeFillShade="BF"/>
          </w:tcPr>
          <w:p w14:paraId="3F266C66" w14:textId="77777777" w:rsidR="00B51E6E" w:rsidRPr="00B51E6E" w:rsidRDefault="00171B37" w:rsidP="0081734D">
            <w:pPr>
              <w:rPr>
                <w:b/>
                <w:color w:val="FFFFFF" w:themeColor="background1"/>
                <w:sz w:val="20"/>
                <w:szCs w:val="20"/>
              </w:rPr>
            </w:pPr>
            <w:r>
              <w:rPr>
                <w:b/>
                <w:color w:val="FFFFFF" w:themeColor="background1"/>
                <w:sz w:val="20"/>
                <w:szCs w:val="20"/>
              </w:rPr>
              <w:t>All figures in £000</w:t>
            </w:r>
          </w:p>
        </w:tc>
        <w:tc>
          <w:tcPr>
            <w:tcW w:w="1418" w:type="dxa"/>
            <w:shd w:val="clear" w:color="auto" w:fill="2F5496" w:themeFill="accent5" w:themeFillShade="BF"/>
          </w:tcPr>
          <w:p w14:paraId="5F4E72CD" w14:textId="77777777" w:rsidR="00B51E6E" w:rsidRPr="00B51E6E" w:rsidRDefault="00AB7688" w:rsidP="0081734D">
            <w:pPr>
              <w:jc w:val="center"/>
              <w:rPr>
                <w:b/>
                <w:color w:val="FFFFFF" w:themeColor="background1"/>
                <w:sz w:val="20"/>
                <w:szCs w:val="20"/>
              </w:rPr>
            </w:pPr>
            <w:r>
              <w:rPr>
                <w:b/>
                <w:color w:val="FFFFFF" w:themeColor="background1"/>
                <w:sz w:val="20"/>
                <w:szCs w:val="20"/>
              </w:rPr>
              <w:t>2017-18</w:t>
            </w:r>
          </w:p>
        </w:tc>
        <w:tc>
          <w:tcPr>
            <w:tcW w:w="1427" w:type="dxa"/>
            <w:shd w:val="clear" w:color="auto" w:fill="2F5496" w:themeFill="accent5" w:themeFillShade="BF"/>
          </w:tcPr>
          <w:p w14:paraId="608F5990" w14:textId="77777777" w:rsidR="00B51E6E" w:rsidRPr="00B51E6E" w:rsidRDefault="00AB7688" w:rsidP="0081734D">
            <w:pPr>
              <w:jc w:val="center"/>
              <w:rPr>
                <w:b/>
                <w:color w:val="FFFFFF" w:themeColor="background1"/>
                <w:sz w:val="20"/>
                <w:szCs w:val="20"/>
              </w:rPr>
            </w:pPr>
            <w:r>
              <w:rPr>
                <w:b/>
                <w:color w:val="FFFFFF" w:themeColor="background1"/>
                <w:sz w:val="20"/>
                <w:szCs w:val="20"/>
              </w:rPr>
              <w:t>2018-19</w:t>
            </w:r>
          </w:p>
        </w:tc>
      </w:tr>
      <w:tr w:rsidR="00AB7688" w:rsidRPr="005B6991" w14:paraId="133EF580" w14:textId="77777777" w:rsidTr="00171B37">
        <w:trPr>
          <w:trHeight w:val="283"/>
        </w:trPr>
        <w:tc>
          <w:tcPr>
            <w:tcW w:w="1838" w:type="dxa"/>
            <w:shd w:val="clear" w:color="auto" w:fill="2F5496" w:themeFill="accent5" w:themeFillShade="BF"/>
            <w:vAlign w:val="center"/>
          </w:tcPr>
          <w:p w14:paraId="79F5E6C3" w14:textId="77777777" w:rsidR="00AB7688" w:rsidRPr="00B51E6E" w:rsidRDefault="00AB7688" w:rsidP="00AB7688">
            <w:pPr>
              <w:rPr>
                <w:b/>
                <w:color w:val="FFFFFF" w:themeColor="background1"/>
                <w:sz w:val="20"/>
                <w:szCs w:val="20"/>
              </w:rPr>
            </w:pPr>
            <w:r w:rsidRPr="00B51E6E">
              <w:rPr>
                <w:b/>
                <w:color w:val="FFFFFF" w:themeColor="background1"/>
                <w:sz w:val="20"/>
                <w:szCs w:val="20"/>
              </w:rPr>
              <w:t>Contributions</w:t>
            </w:r>
          </w:p>
        </w:tc>
        <w:tc>
          <w:tcPr>
            <w:tcW w:w="1418" w:type="dxa"/>
            <w:vAlign w:val="center"/>
          </w:tcPr>
          <w:p w14:paraId="38779E35" w14:textId="77777777" w:rsidR="00AB7688" w:rsidRPr="00AB7688" w:rsidRDefault="00AB7688" w:rsidP="00AB7688">
            <w:pPr>
              <w:ind w:right="303"/>
              <w:jc w:val="right"/>
              <w:rPr>
                <w:sz w:val="20"/>
                <w:szCs w:val="20"/>
              </w:rPr>
            </w:pPr>
            <w:r w:rsidRPr="00AB7688">
              <w:rPr>
                <w:sz w:val="20"/>
                <w:szCs w:val="20"/>
              </w:rPr>
              <w:t>128,410</w:t>
            </w:r>
          </w:p>
        </w:tc>
        <w:tc>
          <w:tcPr>
            <w:tcW w:w="1427" w:type="dxa"/>
            <w:vAlign w:val="center"/>
          </w:tcPr>
          <w:p w14:paraId="0B653728" w14:textId="77777777" w:rsidR="00AB7688" w:rsidRPr="00AB7688" w:rsidRDefault="00AB7688" w:rsidP="00AB7688">
            <w:pPr>
              <w:ind w:right="303"/>
              <w:jc w:val="right"/>
              <w:rPr>
                <w:sz w:val="20"/>
                <w:szCs w:val="20"/>
              </w:rPr>
            </w:pPr>
            <w:r w:rsidRPr="00AB7688">
              <w:rPr>
                <w:sz w:val="20"/>
                <w:szCs w:val="20"/>
              </w:rPr>
              <w:t>124,572</w:t>
            </w:r>
          </w:p>
        </w:tc>
      </w:tr>
      <w:tr w:rsidR="00AB7688" w:rsidRPr="005B6991" w14:paraId="787055CC" w14:textId="77777777" w:rsidTr="00171B37">
        <w:trPr>
          <w:trHeight w:val="283"/>
        </w:trPr>
        <w:tc>
          <w:tcPr>
            <w:tcW w:w="1838" w:type="dxa"/>
            <w:shd w:val="clear" w:color="auto" w:fill="2F5496" w:themeFill="accent5" w:themeFillShade="BF"/>
            <w:vAlign w:val="center"/>
          </w:tcPr>
          <w:p w14:paraId="37EBD532" w14:textId="77777777" w:rsidR="00AB7688" w:rsidRPr="00B51E6E" w:rsidRDefault="00AB7688" w:rsidP="00AB7688">
            <w:pPr>
              <w:rPr>
                <w:b/>
                <w:color w:val="FFFFFF" w:themeColor="background1"/>
                <w:sz w:val="20"/>
                <w:szCs w:val="20"/>
              </w:rPr>
            </w:pPr>
            <w:r w:rsidRPr="00B51E6E">
              <w:rPr>
                <w:b/>
                <w:color w:val="FFFFFF" w:themeColor="background1"/>
                <w:sz w:val="20"/>
                <w:szCs w:val="20"/>
              </w:rPr>
              <w:t>Transfers in</w:t>
            </w:r>
          </w:p>
        </w:tc>
        <w:tc>
          <w:tcPr>
            <w:tcW w:w="1418" w:type="dxa"/>
            <w:vAlign w:val="center"/>
          </w:tcPr>
          <w:p w14:paraId="4CD95E54" w14:textId="77777777" w:rsidR="00AB7688" w:rsidRPr="00AB7688" w:rsidRDefault="00AB7688" w:rsidP="00AB7688">
            <w:pPr>
              <w:ind w:right="303"/>
              <w:jc w:val="right"/>
              <w:rPr>
                <w:sz w:val="20"/>
                <w:szCs w:val="20"/>
              </w:rPr>
            </w:pPr>
            <w:r w:rsidRPr="00AB7688">
              <w:rPr>
                <w:sz w:val="20"/>
                <w:szCs w:val="20"/>
              </w:rPr>
              <w:t>4,932</w:t>
            </w:r>
          </w:p>
        </w:tc>
        <w:tc>
          <w:tcPr>
            <w:tcW w:w="1427" w:type="dxa"/>
            <w:vAlign w:val="center"/>
          </w:tcPr>
          <w:p w14:paraId="14F3C958" w14:textId="77777777" w:rsidR="00AB7688" w:rsidRPr="00AB7688" w:rsidRDefault="00AB7688" w:rsidP="00AB7688">
            <w:pPr>
              <w:ind w:right="303"/>
              <w:jc w:val="right"/>
              <w:rPr>
                <w:sz w:val="20"/>
                <w:szCs w:val="20"/>
              </w:rPr>
            </w:pPr>
            <w:r w:rsidRPr="00AB7688">
              <w:rPr>
                <w:sz w:val="20"/>
                <w:szCs w:val="20"/>
              </w:rPr>
              <w:t>4,882</w:t>
            </w:r>
          </w:p>
        </w:tc>
      </w:tr>
      <w:tr w:rsidR="00AB7688" w:rsidRPr="005B6991" w14:paraId="2F47A75A" w14:textId="77777777" w:rsidTr="00171B37">
        <w:trPr>
          <w:trHeight w:val="283"/>
        </w:trPr>
        <w:tc>
          <w:tcPr>
            <w:tcW w:w="1838" w:type="dxa"/>
            <w:shd w:val="clear" w:color="auto" w:fill="2F5496" w:themeFill="accent5" w:themeFillShade="BF"/>
            <w:vAlign w:val="center"/>
          </w:tcPr>
          <w:p w14:paraId="5D3925FA" w14:textId="77777777" w:rsidR="00AB7688" w:rsidRPr="00B51E6E" w:rsidRDefault="00AB7688" w:rsidP="00AB7688">
            <w:pPr>
              <w:rPr>
                <w:b/>
                <w:color w:val="FFFFFF" w:themeColor="background1"/>
                <w:sz w:val="20"/>
                <w:szCs w:val="20"/>
              </w:rPr>
            </w:pPr>
            <w:r w:rsidRPr="00B51E6E">
              <w:rPr>
                <w:b/>
                <w:color w:val="FFFFFF" w:themeColor="background1"/>
                <w:sz w:val="20"/>
                <w:szCs w:val="20"/>
              </w:rPr>
              <w:t>Benefits</w:t>
            </w:r>
          </w:p>
        </w:tc>
        <w:tc>
          <w:tcPr>
            <w:tcW w:w="1418" w:type="dxa"/>
            <w:tcBorders>
              <w:bottom w:val="nil"/>
            </w:tcBorders>
            <w:vAlign w:val="center"/>
          </w:tcPr>
          <w:p w14:paraId="5C9C614F" w14:textId="77777777" w:rsidR="00AB7688" w:rsidRPr="00AB7688" w:rsidRDefault="00AB7688" w:rsidP="00AB7688">
            <w:pPr>
              <w:ind w:right="303"/>
              <w:jc w:val="right"/>
              <w:rPr>
                <w:sz w:val="20"/>
                <w:szCs w:val="20"/>
              </w:rPr>
            </w:pPr>
            <w:r w:rsidRPr="00AB7688">
              <w:rPr>
                <w:sz w:val="20"/>
                <w:szCs w:val="20"/>
              </w:rPr>
              <w:t>(99,345)</w:t>
            </w:r>
          </w:p>
        </w:tc>
        <w:tc>
          <w:tcPr>
            <w:tcW w:w="1427" w:type="dxa"/>
            <w:tcBorders>
              <w:bottom w:val="nil"/>
            </w:tcBorders>
            <w:vAlign w:val="center"/>
          </w:tcPr>
          <w:p w14:paraId="09AB2F64" w14:textId="77777777" w:rsidR="00AB7688" w:rsidRPr="00AB7688" w:rsidRDefault="00AB7688" w:rsidP="00AB7688">
            <w:pPr>
              <w:ind w:right="303"/>
              <w:jc w:val="right"/>
              <w:rPr>
                <w:sz w:val="20"/>
                <w:szCs w:val="20"/>
              </w:rPr>
            </w:pPr>
            <w:r>
              <w:rPr>
                <w:sz w:val="20"/>
                <w:szCs w:val="20"/>
              </w:rPr>
              <w:t>(</w:t>
            </w:r>
            <w:r w:rsidRPr="00AB7688">
              <w:rPr>
                <w:sz w:val="20"/>
                <w:szCs w:val="20"/>
              </w:rPr>
              <w:t>106,259</w:t>
            </w:r>
            <w:r>
              <w:rPr>
                <w:sz w:val="20"/>
                <w:szCs w:val="20"/>
              </w:rPr>
              <w:t>)</w:t>
            </w:r>
          </w:p>
        </w:tc>
      </w:tr>
      <w:tr w:rsidR="00AB7688" w:rsidRPr="005B6991" w14:paraId="6CA3E94F" w14:textId="77777777" w:rsidTr="00171B37">
        <w:trPr>
          <w:trHeight w:val="283"/>
        </w:trPr>
        <w:tc>
          <w:tcPr>
            <w:tcW w:w="1838" w:type="dxa"/>
            <w:shd w:val="clear" w:color="auto" w:fill="2F5496" w:themeFill="accent5" w:themeFillShade="BF"/>
            <w:vAlign w:val="center"/>
          </w:tcPr>
          <w:p w14:paraId="136A19C2" w14:textId="77777777" w:rsidR="00AB7688" w:rsidRPr="00B51E6E" w:rsidRDefault="00AB7688" w:rsidP="00AB7688">
            <w:pPr>
              <w:rPr>
                <w:b/>
                <w:color w:val="FFFFFF" w:themeColor="background1"/>
                <w:sz w:val="20"/>
                <w:szCs w:val="20"/>
              </w:rPr>
            </w:pPr>
            <w:r w:rsidRPr="00B51E6E">
              <w:rPr>
                <w:b/>
                <w:color w:val="FFFFFF" w:themeColor="background1"/>
                <w:sz w:val="20"/>
                <w:szCs w:val="20"/>
              </w:rPr>
              <w:t>Payments to leavers</w:t>
            </w:r>
          </w:p>
        </w:tc>
        <w:tc>
          <w:tcPr>
            <w:tcW w:w="1418" w:type="dxa"/>
            <w:tcBorders>
              <w:top w:val="nil"/>
              <w:bottom w:val="single" w:sz="4" w:space="0" w:color="auto"/>
            </w:tcBorders>
            <w:vAlign w:val="center"/>
          </w:tcPr>
          <w:p w14:paraId="3D3622A4" w14:textId="77777777" w:rsidR="00AB7688" w:rsidRPr="00AB7688" w:rsidRDefault="00AB7688" w:rsidP="00AB7688">
            <w:pPr>
              <w:ind w:right="303"/>
              <w:jc w:val="right"/>
              <w:rPr>
                <w:sz w:val="20"/>
                <w:szCs w:val="20"/>
              </w:rPr>
            </w:pPr>
            <w:r w:rsidRPr="00AB7688">
              <w:rPr>
                <w:sz w:val="20"/>
                <w:szCs w:val="20"/>
              </w:rPr>
              <w:t>(10,126)</w:t>
            </w:r>
          </w:p>
        </w:tc>
        <w:tc>
          <w:tcPr>
            <w:tcW w:w="1427" w:type="dxa"/>
            <w:tcBorders>
              <w:top w:val="nil"/>
              <w:bottom w:val="single" w:sz="4" w:space="0" w:color="auto"/>
            </w:tcBorders>
            <w:vAlign w:val="center"/>
          </w:tcPr>
          <w:p w14:paraId="3619B700" w14:textId="77777777" w:rsidR="00AB7688" w:rsidRPr="00953573" w:rsidRDefault="00AB7688" w:rsidP="00AB7688">
            <w:pPr>
              <w:ind w:right="303"/>
              <w:jc w:val="right"/>
              <w:rPr>
                <w:sz w:val="20"/>
                <w:szCs w:val="20"/>
                <w:highlight w:val="yellow"/>
              </w:rPr>
            </w:pPr>
            <w:r w:rsidRPr="00AB7688">
              <w:rPr>
                <w:sz w:val="20"/>
                <w:szCs w:val="20"/>
              </w:rPr>
              <w:t>(11,171)</w:t>
            </w:r>
          </w:p>
        </w:tc>
      </w:tr>
      <w:tr w:rsidR="00B51E6E" w:rsidRPr="005B6991" w14:paraId="51257C0B" w14:textId="77777777" w:rsidTr="00171B37">
        <w:trPr>
          <w:trHeight w:val="283"/>
        </w:trPr>
        <w:tc>
          <w:tcPr>
            <w:tcW w:w="1838" w:type="dxa"/>
            <w:shd w:val="clear" w:color="auto" w:fill="2F5496" w:themeFill="accent5" w:themeFillShade="BF"/>
            <w:vAlign w:val="center"/>
          </w:tcPr>
          <w:p w14:paraId="0B75E61E" w14:textId="77777777" w:rsidR="00B51E6E" w:rsidRPr="00B51E6E" w:rsidRDefault="00B51E6E" w:rsidP="0081734D">
            <w:pPr>
              <w:rPr>
                <w:b/>
                <w:color w:val="FFFFFF" w:themeColor="background1"/>
                <w:sz w:val="20"/>
                <w:szCs w:val="20"/>
              </w:rPr>
            </w:pPr>
            <w:r w:rsidRPr="00B51E6E">
              <w:rPr>
                <w:b/>
                <w:color w:val="FFFFFF" w:themeColor="background1"/>
                <w:sz w:val="20"/>
                <w:szCs w:val="20"/>
              </w:rPr>
              <w:t>Surplus</w:t>
            </w:r>
          </w:p>
        </w:tc>
        <w:tc>
          <w:tcPr>
            <w:tcW w:w="1418" w:type="dxa"/>
            <w:tcBorders>
              <w:top w:val="single" w:sz="4" w:space="0" w:color="auto"/>
            </w:tcBorders>
            <w:vAlign w:val="center"/>
          </w:tcPr>
          <w:p w14:paraId="0F03FE85" w14:textId="77777777" w:rsidR="00AB7688" w:rsidRPr="00C1594B" w:rsidRDefault="00AB7688" w:rsidP="00AB7688">
            <w:pPr>
              <w:ind w:right="303"/>
              <w:jc w:val="right"/>
              <w:rPr>
                <w:b/>
                <w:sz w:val="20"/>
                <w:szCs w:val="20"/>
              </w:rPr>
            </w:pPr>
            <w:r w:rsidRPr="00C1594B">
              <w:rPr>
                <w:b/>
                <w:sz w:val="20"/>
                <w:szCs w:val="20"/>
              </w:rPr>
              <w:t>23,871</w:t>
            </w:r>
          </w:p>
        </w:tc>
        <w:tc>
          <w:tcPr>
            <w:tcW w:w="1427" w:type="dxa"/>
            <w:tcBorders>
              <w:top w:val="single" w:sz="4" w:space="0" w:color="auto"/>
            </w:tcBorders>
            <w:vAlign w:val="center"/>
          </w:tcPr>
          <w:p w14:paraId="65566F9F" w14:textId="77777777" w:rsidR="00B51E6E" w:rsidRPr="00C1594B" w:rsidRDefault="00C1594B" w:rsidP="00B51E6E">
            <w:pPr>
              <w:ind w:right="303"/>
              <w:jc w:val="right"/>
              <w:rPr>
                <w:b/>
                <w:sz w:val="20"/>
                <w:szCs w:val="20"/>
              </w:rPr>
            </w:pPr>
            <w:r w:rsidRPr="00C1594B">
              <w:rPr>
                <w:b/>
                <w:sz w:val="20"/>
                <w:szCs w:val="20"/>
              </w:rPr>
              <w:t>12,024</w:t>
            </w:r>
          </w:p>
        </w:tc>
      </w:tr>
    </w:tbl>
    <w:p w14:paraId="0FF24890" w14:textId="77777777" w:rsidR="00B51E6E" w:rsidRPr="005B6991" w:rsidRDefault="00B51E6E" w:rsidP="00B51E6E">
      <w:pPr>
        <w:rPr>
          <w:sz w:val="20"/>
          <w:szCs w:val="20"/>
        </w:rPr>
      </w:pPr>
      <w:r w:rsidRPr="005B6991">
        <w:rPr>
          <w:sz w:val="20"/>
          <w:szCs w:val="20"/>
        </w:rPr>
        <w:t xml:space="preserve">You can find more information on Contributions and Benefits in </w:t>
      </w:r>
      <w:r w:rsidRPr="00C1594B">
        <w:rPr>
          <w:sz w:val="20"/>
          <w:szCs w:val="20"/>
        </w:rPr>
        <w:t>Notes 7 and 9 to the</w:t>
      </w:r>
      <w:r w:rsidRPr="005B6991">
        <w:rPr>
          <w:sz w:val="20"/>
          <w:szCs w:val="20"/>
        </w:rPr>
        <w:t xml:space="preserve"> Statement of Accounts.</w:t>
      </w:r>
    </w:p>
    <w:p w14:paraId="30E88332" w14:textId="77777777" w:rsidR="00B51E6E" w:rsidRPr="00B51E6E" w:rsidRDefault="00B51E6E" w:rsidP="00B51E6E">
      <w:pPr>
        <w:spacing w:after="80" w:line="240" w:lineRule="auto"/>
        <w:rPr>
          <w:b/>
          <w:color w:val="002060"/>
          <w:sz w:val="24"/>
          <w:szCs w:val="24"/>
        </w:rPr>
      </w:pPr>
      <w:r w:rsidRPr="00B51E6E">
        <w:rPr>
          <w:b/>
          <w:color w:val="002060"/>
          <w:sz w:val="24"/>
          <w:szCs w:val="24"/>
        </w:rPr>
        <w:t>Management Expenses</w:t>
      </w:r>
    </w:p>
    <w:p w14:paraId="4116CC71" w14:textId="77777777" w:rsidR="00B51E6E" w:rsidRPr="005B6991" w:rsidRDefault="00B51E6E" w:rsidP="00B51E6E">
      <w:pPr>
        <w:spacing w:after="80" w:line="240" w:lineRule="auto"/>
        <w:rPr>
          <w:sz w:val="20"/>
          <w:szCs w:val="20"/>
        </w:rPr>
      </w:pPr>
      <w:r w:rsidRPr="005B6991">
        <w:rPr>
          <w:sz w:val="20"/>
          <w:szCs w:val="20"/>
        </w:rPr>
        <w:t>The cost of running the Fund is broken down into three areas</w:t>
      </w:r>
      <w:r>
        <w:rPr>
          <w:sz w:val="20"/>
          <w:szCs w:val="20"/>
        </w:rPr>
        <w:t xml:space="preserve">, as shown in </w:t>
      </w:r>
      <w:r w:rsidRPr="00C1594B">
        <w:rPr>
          <w:sz w:val="20"/>
          <w:szCs w:val="20"/>
        </w:rPr>
        <w:t>Note 11 to</w:t>
      </w:r>
      <w:r>
        <w:rPr>
          <w:sz w:val="20"/>
          <w:szCs w:val="20"/>
        </w:rPr>
        <w:t xml:space="preserve"> the Statement of Accounts in the Fund’s Annual Report and Statement of Accounts</w:t>
      </w:r>
      <w:r w:rsidRPr="005B6991">
        <w:rPr>
          <w:sz w:val="20"/>
          <w:szCs w:val="20"/>
        </w:rPr>
        <w:t>.</w:t>
      </w:r>
    </w:p>
    <w:p w14:paraId="698B1957" w14:textId="77777777" w:rsidR="00B51E6E" w:rsidRDefault="00B51E6E" w:rsidP="00B51E6E">
      <w:pPr>
        <w:spacing w:after="80" w:line="240" w:lineRule="auto"/>
        <w:rPr>
          <w:sz w:val="20"/>
          <w:szCs w:val="20"/>
        </w:rPr>
      </w:pPr>
      <w:r w:rsidRPr="005B6991">
        <w:rPr>
          <w:b/>
          <w:sz w:val="20"/>
          <w:szCs w:val="20"/>
        </w:rPr>
        <w:t>Administrative Costs</w:t>
      </w:r>
      <w:r w:rsidRPr="005B6991">
        <w:rPr>
          <w:sz w:val="20"/>
          <w:szCs w:val="20"/>
        </w:rPr>
        <w:t xml:space="preserve"> are the costs of providing support to members and employers an</w:t>
      </w:r>
      <w:r w:rsidR="00A27A3C">
        <w:rPr>
          <w:sz w:val="20"/>
          <w:szCs w:val="20"/>
        </w:rPr>
        <w:t>d include staff, premises</w:t>
      </w:r>
      <w:r w:rsidRPr="005B6991">
        <w:rPr>
          <w:sz w:val="20"/>
          <w:szCs w:val="20"/>
        </w:rPr>
        <w:t xml:space="preserve">, IT and other expenses incurred in the administration of the scheme.  Cambridgeshire County Council </w:t>
      </w:r>
      <w:r>
        <w:rPr>
          <w:sz w:val="20"/>
          <w:szCs w:val="20"/>
        </w:rPr>
        <w:t>has appointed</w:t>
      </w:r>
      <w:r w:rsidRPr="005B6991">
        <w:rPr>
          <w:sz w:val="20"/>
          <w:szCs w:val="20"/>
        </w:rPr>
        <w:t xml:space="preserve"> </w:t>
      </w:r>
      <w:r w:rsidRPr="00EA29C7">
        <w:rPr>
          <w:b/>
          <w:sz w:val="20"/>
          <w:szCs w:val="20"/>
        </w:rPr>
        <w:t>LGSS</w:t>
      </w:r>
      <w:r w:rsidRPr="005B6991">
        <w:rPr>
          <w:sz w:val="20"/>
          <w:szCs w:val="20"/>
        </w:rPr>
        <w:t xml:space="preserve"> to provide Pension Administration services.  This is a joint arrangement with </w:t>
      </w:r>
      <w:r>
        <w:rPr>
          <w:sz w:val="20"/>
          <w:szCs w:val="20"/>
        </w:rPr>
        <w:t>Northamptonshire County Council.</w:t>
      </w:r>
      <w:r w:rsidR="0079093F">
        <w:rPr>
          <w:sz w:val="20"/>
          <w:szCs w:val="20"/>
        </w:rPr>
        <w:t xml:space="preserve">  The section 114 notice issued at Northamptonshire County Council</w:t>
      </w:r>
      <w:r w:rsidR="00F039B8">
        <w:rPr>
          <w:sz w:val="20"/>
          <w:szCs w:val="20"/>
        </w:rPr>
        <w:t xml:space="preserve"> has no impact on LGSS delivering </w:t>
      </w:r>
      <w:r w:rsidR="00121C9A">
        <w:rPr>
          <w:sz w:val="20"/>
          <w:szCs w:val="20"/>
        </w:rPr>
        <w:t xml:space="preserve">administration and management </w:t>
      </w:r>
      <w:r w:rsidR="00F039B8">
        <w:rPr>
          <w:sz w:val="20"/>
          <w:szCs w:val="20"/>
        </w:rPr>
        <w:t xml:space="preserve">services to </w:t>
      </w:r>
      <w:r w:rsidR="00121C9A">
        <w:rPr>
          <w:sz w:val="20"/>
          <w:szCs w:val="20"/>
        </w:rPr>
        <w:t xml:space="preserve">the </w:t>
      </w:r>
      <w:r w:rsidR="00F039B8">
        <w:rPr>
          <w:sz w:val="20"/>
          <w:szCs w:val="20"/>
        </w:rPr>
        <w:t>Camb</w:t>
      </w:r>
      <w:r w:rsidR="00121C9A">
        <w:rPr>
          <w:sz w:val="20"/>
          <w:szCs w:val="20"/>
        </w:rPr>
        <w:t>ridgeshire</w:t>
      </w:r>
      <w:r w:rsidR="00F039B8">
        <w:rPr>
          <w:sz w:val="20"/>
          <w:szCs w:val="20"/>
        </w:rPr>
        <w:t xml:space="preserve"> Pension Fund.</w:t>
      </w:r>
    </w:p>
    <w:p w14:paraId="42C7E545" w14:textId="77777777" w:rsidR="00A105C0" w:rsidRDefault="00A105C0" w:rsidP="00B51E6E">
      <w:pPr>
        <w:spacing w:after="80" w:line="240" w:lineRule="auto"/>
        <w:rPr>
          <w:sz w:val="20"/>
          <w:szCs w:val="20"/>
        </w:rPr>
      </w:pPr>
    </w:p>
    <w:p w14:paraId="072605A3" w14:textId="77777777" w:rsidR="000B583D" w:rsidRDefault="000B583D" w:rsidP="00B51E6E">
      <w:pPr>
        <w:spacing w:after="80" w:line="240" w:lineRule="auto"/>
        <w:rPr>
          <w:sz w:val="20"/>
          <w:szCs w:val="20"/>
        </w:rPr>
      </w:pPr>
    </w:p>
    <w:p w14:paraId="2E9D75FC" w14:textId="77777777" w:rsidR="003A7BB0" w:rsidRDefault="00B51E6E" w:rsidP="00B51E6E">
      <w:pPr>
        <w:spacing w:after="80" w:line="240" w:lineRule="auto"/>
        <w:rPr>
          <w:sz w:val="20"/>
          <w:szCs w:val="20"/>
        </w:rPr>
      </w:pPr>
      <w:r w:rsidRPr="005B6991">
        <w:rPr>
          <w:sz w:val="20"/>
          <w:szCs w:val="20"/>
        </w:rPr>
        <w:t>There are more details about Administrative Costs in the Administrative Management Performance section of the Fund’s Annual Report</w:t>
      </w:r>
      <w:r>
        <w:rPr>
          <w:sz w:val="20"/>
          <w:szCs w:val="20"/>
        </w:rPr>
        <w:t>.</w:t>
      </w:r>
    </w:p>
    <w:p w14:paraId="08322009" w14:textId="77777777" w:rsidR="00B51E6E" w:rsidRPr="005B6991" w:rsidRDefault="00B51E6E" w:rsidP="00B51E6E">
      <w:pPr>
        <w:spacing w:after="80" w:line="240" w:lineRule="auto"/>
        <w:rPr>
          <w:sz w:val="20"/>
          <w:szCs w:val="20"/>
        </w:rPr>
      </w:pPr>
      <w:r w:rsidRPr="005B6991">
        <w:rPr>
          <w:b/>
          <w:sz w:val="20"/>
          <w:szCs w:val="20"/>
        </w:rPr>
        <w:t>Oversight and Governance Costs</w:t>
      </w:r>
      <w:r w:rsidRPr="005B6991">
        <w:rPr>
          <w:sz w:val="20"/>
          <w:szCs w:val="20"/>
        </w:rPr>
        <w:t xml:space="preserve"> are costs incurred in ensuring the scheme is well run.  These include training costs for Councillors, </w:t>
      </w:r>
      <w:r w:rsidRPr="00EA29C7">
        <w:rPr>
          <w:b/>
          <w:sz w:val="20"/>
          <w:szCs w:val="20"/>
        </w:rPr>
        <w:t>Actuary</w:t>
      </w:r>
      <w:r w:rsidRPr="005B6991">
        <w:rPr>
          <w:sz w:val="20"/>
          <w:szCs w:val="20"/>
        </w:rPr>
        <w:t xml:space="preserve"> </w:t>
      </w:r>
      <w:r w:rsidR="00A615B0">
        <w:rPr>
          <w:sz w:val="20"/>
          <w:szCs w:val="20"/>
        </w:rPr>
        <w:t>and</w:t>
      </w:r>
      <w:r w:rsidRPr="005B6991">
        <w:rPr>
          <w:sz w:val="20"/>
          <w:szCs w:val="20"/>
        </w:rPr>
        <w:t xml:space="preserve"> Audit services and Legal support.  You can find further details in the Governance policy and compliance statement in the Annual Report.</w:t>
      </w:r>
    </w:p>
    <w:p w14:paraId="758FC0FA" w14:textId="77777777" w:rsidR="00B51E6E" w:rsidRPr="005B6991" w:rsidRDefault="00B51E6E" w:rsidP="00B51E6E">
      <w:pPr>
        <w:spacing w:after="80" w:line="240" w:lineRule="auto"/>
        <w:rPr>
          <w:sz w:val="20"/>
          <w:szCs w:val="20"/>
        </w:rPr>
      </w:pPr>
      <w:r w:rsidRPr="005B6991">
        <w:rPr>
          <w:b/>
          <w:sz w:val="20"/>
          <w:szCs w:val="20"/>
        </w:rPr>
        <w:t>Investment Management Expenses</w:t>
      </w:r>
      <w:r w:rsidRPr="005B6991">
        <w:rPr>
          <w:sz w:val="20"/>
          <w:szCs w:val="20"/>
        </w:rPr>
        <w:t xml:space="preserve"> include fees paid to Investment Managers, specialist advisors, and the costs of buying, selling and holding investments.</w:t>
      </w:r>
    </w:p>
    <w:p w14:paraId="154FB2CC" w14:textId="77777777" w:rsidR="00B51E6E" w:rsidRPr="005B6991" w:rsidRDefault="00B51E6E" w:rsidP="00B51E6E">
      <w:pPr>
        <w:spacing w:after="80" w:line="240" w:lineRule="auto"/>
        <w:rPr>
          <w:sz w:val="20"/>
          <w:szCs w:val="20"/>
        </w:rPr>
      </w:pPr>
      <w:r w:rsidRPr="005B6991">
        <w:rPr>
          <w:sz w:val="20"/>
          <w:szCs w:val="20"/>
        </w:rPr>
        <w:t xml:space="preserve">You can find more details </w:t>
      </w:r>
      <w:r>
        <w:rPr>
          <w:sz w:val="20"/>
          <w:szCs w:val="20"/>
        </w:rPr>
        <w:t>in the Investment policy and performance report in the Fund’s Annual Report.</w:t>
      </w:r>
    </w:p>
    <w:p w14:paraId="3C3C2EC0" w14:textId="77777777" w:rsidR="00B51E6E" w:rsidRPr="00B51E6E" w:rsidRDefault="00B51E6E" w:rsidP="00B51E6E">
      <w:pPr>
        <w:spacing w:after="80" w:line="240" w:lineRule="auto"/>
        <w:rPr>
          <w:b/>
          <w:color w:val="002060"/>
          <w:sz w:val="24"/>
          <w:szCs w:val="24"/>
        </w:rPr>
      </w:pPr>
      <w:r w:rsidRPr="00B51E6E">
        <w:rPr>
          <w:b/>
          <w:color w:val="002060"/>
          <w:sz w:val="24"/>
          <w:szCs w:val="24"/>
        </w:rPr>
        <w:t>Employer and Member Numbers</w:t>
      </w:r>
    </w:p>
    <w:p w14:paraId="25109C49" w14:textId="77777777" w:rsidR="00B51E6E" w:rsidRPr="005B6991" w:rsidRDefault="00B51E6E" w:rsidP="00B51E6E">
      <w:pPr>
        <w:spacing w:after="80" w:line="240" w:lineRule="auto"/>
        <w:rPr>
          <w:sz w:val="20"/>
          <w:szCs w:val="20"/>
        </w:rPr>
      </w:pPr>
      <w:r w:rsidRPr="00796C55">
        <w:rPr>
          <w:sz w:val="20"/>
          <w:szCs w:val="20"/>
        </w:rPr>
        <w:t xml:space="preserve">There </w:t>
      </w:r>
      <w:r w:rsidRPr="00A105C0">
        <w:rPr>
          <w:sz w:val="20"/>
          <w:szCs w:val="20"/>
        </w:rPr>
        <w:t xml:space="preserve">are </w:t>
      </w:r>
      <w:r w:rsidR="00A105C0" w:rsidRPr="00A105C0">
        <w:rPr>
          <w:sz w:val="20"/>
          <w:szCs w:val="20"/>
        </w:rPr>
        <w:t>254 active</w:t>
      </w:r>
      <w:r w:rsidR="003A7BB0" w:rsidRPr="00A105C0">
        <w:rPr>
          <w:sz w:val="20"/>
          <w:szCs w:val="20"/>
        </w:rPr>
        <w:t xml:space="preserve"> </w:t>
      </w:r>
      <w:r w:rsidRPr="00A105C0">
        <w:rPr>
          <w:sz w:val="20"/>
          <w:szCs w:val="20"/>
        </w:rPr>
        <w:t>Employer</w:t>
      </w:r>
      <w:r w:rsidR="00A615B0" w:rsidRPr="00A105C0">
        <w:rPr>
          <w:sz w:val="20"/>
          <w:szCs w:val="20"/>
        </w:rPr>
        <w:t xml:space="preserve"> bodies</w:t>
      </w:r>
      <w:r w:rsidRPr="00A105C0">
        <w:rPr>
          <w:sz w:val="20"/>
          <w:szCs w:val="20"/>
        </w:rPr>
        <w:t xml:space="preserve"> within the Pension Fund.  </w:t>
      </w:r>
      <w:r w:rsidR="00A105C0">
        <w:rPr>
          <w:sz w:val="20"/>
          <w:szCs w:val="20"/>
        </w:rPr>
        <w:t xml:space="preserve">A full list </w:t>
      </w:r>
      <w:r w:rsidRPr="00A105C0">
        <w:rPr>
          <w:sz w:val="20"/>
          <w:szCs w:val="20"/>
        </w:rPr>
        <w:t xml:space="preserve">of contributions made by Employers and their Employees can be found on pages </w:t>
      </w:r>
      <w:r w:rsidR="00AB7688" w:rsidRPr="00A105C0">
        <w:rPr>
          <w:sz w:val="20"/>
          <w:szCs w:val="20"/>
        </w:rPr>
        <w:t>16-28</w:t>
      </w:r>
      <w:r w:rsidRPr="00A105C0">
        <w:rPr>
          <w:sz w:val="20"/>
          <w:szCs w:val="20"/>
        </w:rPr>
        <w:t xml:space="preserve"> of the Annual Report.</w:t>
      </w:r>
    </w:p>
    <w:p w14:paraId="2CD9334C" w14:textId="77777777" w:rsidR="00B51E6E" w:rsidRDefault="00B51E6E" w:rsidP="00B51E6E">
      <w:pPr>
        <w:spacing w:after="80" w:line="240" w:lineRule="auto"/>
        <w:rPr>
          <w:sz w:val="20"/>
          <w:szCs w:val="20"/>
        </w:rPr>
      </w:pPr>
      <w:r w:rsidRPr="005B6991">
        <w:rPr>
          <w:sz w:val="20"/>
          <w:szCs w:val="20"/>
        </w:rPr>
        <w:t xml:space="preserve">The Fund has </w:t>
      </w:r>
      <w:r w:rsidR="00C1594B">
        <w:rPr>
          <w:sz w:val="20"/>
          <w:szCs w:val="20"/>
        </w:rPr>
        <w:t>28,976</w:t>
      </w:r>
      <w:r w:rsidRPr="005B6991">
        <w:rPr>
          <w:sz w:val="20"/>
          <w:szCs w:val="20"/>
        </w:rPr>
        <w:t xml:space="preserve"> active members (members who are contributing) and </w:t>
      </w:r>
      <w:r w:rsidR="00C1594B">
        <w:rPr>
          <w:sz w:val="20"/>
          <w:szCs w:val="20"/>
        </w:rPr>
        <w:t>18,775</w:t>
      </w:r>
      <w:r w:rsidRPr="005B6991">
        <w:rPr>
          <w:sz w:val="20"/>
          <w:szCs w:val="20"/>
        </w:rPr>
        <w:t xml:space="preserve"> members who are drawing their pension.  There are </w:t>
      </w:r>
      <w:r w:rsidR="00C1594B">
        <w:rPr>
          <w:sz w:val="20"/>
          <w:szCs w:val="20"/>
        </w:rPr>
        <w:t>35,158</w:t>
      </w:r>
      <w:r w:rsidRPr="005B6991">
        <w:rPr>
          <w:sz w:val="20"/>
          <w:szCs w:val="20"/>
        </w:rPr>
        <w:t xml:space="preserve"> members who no longer contribute to the Fund but are yet to retire (deferred members).  More information about the Fund’s members</w:t>
      </w:r>
      <w:r w:rsidR="00EA29C7">
        <w:rPr>
          <w:sz w:val="20"/>
          <w:szCs w:val="20"/>
        </w:rPr>
        <w:t>hip</w:t>
      </w:r>
      <w:r w:rsidRPr="005B6991">
        <w:rPr>
          <w:sz w:val="20"/>
          <w:szCs w:val="20"/>
        </w:rPr>
        <w:t xml:space="preserve"> can be found on page </w:t>
      </w:r>
      <w:r w:rsidR="00C1594B">
        <w:rPr>
          <w:sz w:val="20"/>
          <w:szCs w:val="20"/>
        </w:rPr>
        <w:t>5</w:t>
      </w:r>
      <w:r w:rsidRPr="005B6991">
        <w:rPr>
          <w:sz w:val="20"/>
          <w:szCs w:val="20"/>
        </w:rPr>
        <w:t xml:space="preserve"> of the Annual Report.</w:t>
      </w:r>
    </w:p>
    <w:p w14:paraId="671405B8" w14:textId="77777777" w:rsidR="00B51E6E" w:rsidRPr="005B6991" w:rsidRDefault="00B51E6E" w:rsidP="00B51E6E">
      <w:pPr>
        <w:spacing w:after="80" w:line="240" w:lineRule="auto"/>
        <w:rPr>
          <w:sz w:val="20"/>
          <w:szCs w:val="20"/>
        </w:rPr>
      </w:pPr>
      <w:r>
        <w:rPr>
          <w:sz w:val="20"/>
          <w:szCs w:val="20"/>
        </w:rPr>
        <w:t>The Fund has seen a steady increase in the number of Employers and Members within the scheme over the last few years.</w:t>
      </w:r>
    </w:p>
    <w:p w14:paraId="3DF2F155" w14:textId="77777777" w:rsidR="00B51E6E" w:rsidRPr="00DD39B8" w:rsidRDefault="00B51E6E" w:rsidP="00B51E6E">
      <w:pPr>
        <w:spacing w:after="80" w:line="240" w:lineRule="auto"/>
        <w:rPr>
          <w:b/>
          <w:sz w:val="20"/>
          <w:szCs w:val="20"/>
        </w:rPr>
      </w:pPr>
      <w:r>
        <w:rPr>
          <w:sz w:val="16"/>
          <w:szCs w:val="16"/>
        </w:rPr>
        <w:br w:type="column"/>
      </w:r>
    </w:p>
    <w:p w14:paraId="77245B77" w14:textId="77777777" w:rsidR="00B51E6E" w:rsidRPr="00B51E6E" w:rsidRDefault="00B51E6E" w:rsidP="00B51E6E">
      <w:pPr>
        <w:spacing w:after="80" w:line="240" w:lineRule="auto"/>
        <w:rPr>
          <w:b/>
          <w:color w:val="002060"/>
          <w:sz w:val="24"/>
          <w:szCs w:val="24"/>
        </w:rPr>
      </w:pPr>
      <w:r w:rsidRPr="00B51E6E">
        <w:rPr>
          <w:b/>
          <w:color w:val="002060"/>
          <w:sz w:val="24"/>
          <w:szCs w:val="24"/>
        </w:rPr>
        <w:t>Investments</w:t>
      </w:r>
    </w:p>
    <w:p w14:paraId="5B4C7BE5" w14:textId="77777777" w:rsidR="00B51E6E" w:rsidRPr="005B6991" w:rsidRDefault="00171B37" w:rsidP="00171B37">
      <w:pPr>
        <w:spacing w:after="80" w:line="240" w:lineRule="auto"/>
        <w:rPr>
          <w:sz w:val="20"/>
          <w:szCs w:val="20"/>
        </w:rPr>
      </w:pPr>
      <w:r>
        <w:rPr>
          <w:sz w:val="20"/>
          <w:szCs w:val="20"/>
        </w:rPr>
        <w:t>The</w:t>
      </w:r>
      <w:r w:rsidR="00B51E6E" w:rsidRPr="005B6991">
        <w:rPr>
          <w:sz w:val="20"/>
          <w:szCs w:val="20"/>
        </w:rPr>
        <w:t xml:space="preserve"> </w:t>
      </w:r>
      <w:r>
        <w:rPr>
          <w:sz w:val="20"/>
          <w:szCs w:val="20"/>
        </w:rPr>
        <w:t>i</w:t>
      </w:r>
      <w:r w:rsidR="00B51E6E" w:rsidRPr="005B6991">
        <w:rPr>
          <w:sz w:val="20"/>
          <w:szCs w:val="20"/>
        </w:rPr>
        <w:t>nvestment strategy focus</w:t>
      </w:r>
      <w:r>
        <w:rPr>
          <w:sz w:val="20"/>
          <w:szCs w:val="20"/>
        </w:rPr>
        <w:t>ses</w:t>
      </w:r>
      <w:r w:rsidR="00B51E6E" w:rsidRPr="005B6991">
        <w:rPr>
          <w:sz w:val="20"/>
          <w:szCs w:val="20"/>
        </w:rPr>
        <w:t xml:space="preserve"> </w:t>
      </w:r>
      <w:r w:rsidR="00EA29C7">
        <w:rPr>
          <w:sz w:val="20"/>
          <w:szCs w:val="20"/>
        </w:rPr>
        <w:t xml:space="preserve">on </w:t>
      </w:r>
      <w:r>
        <w:rPr>
          <w:sz w:val="20"/>
          <w:szCs w:val="20"/>
        </w:rPr>
        <w:t>growing the investment assets of the Fund to meet future pension payments</w:t>
      </w:r>
      <w:r w:rsidR="00FF2378">
        <w:rPr>
          <w:sz w:val="20"/>
          <w:szCs w:val="20"/>
        </w:rPr>
        <w:t>, taking appropriate risk</w:t>
      </w:r>
      <w:r w:rsidR="00B51E6E" w:rsidRPr="005B6991">
        <w:rPr>
          <w:sz w:val="20"/>
          <w:szCs w:val="20"/>
        </w:rPr>
        <w:t>.</w:t>
      </w:r>
    </w:p>
    <w:p w14:paraId="653F8558" w14:textId="77777777" w:rsidR="00B51E6E" w:rsidRPr="005B6991" w:rsidRDefault="00B51E6E" w:rsidP="00171B37">
      <w:pPr>
        <w:spacing w:after="80" w:line="240" w:lineRule="auto"/>
        <w:rPr>
          <w:sz w:val="20"/>
          <w:szCs w:val="20"/>
        </w:rPr>
      </w:pPr>
      <w:r w:rsidRPr="005B6991">
        <w:rPr>
          <w:sz w:val="20"/>
          <w:szCs w:val="20"/>
        </w:rPr>
        <w:t xml:space="preserve">The Fund invests in a wide range of assets to spread </w:t>
      </w:r>
      <w:r w:rsidR="00171B37">
        <w:rPr>
          <w:sz w:val="20"/>
          <w:szCs w:val="20"/>
        </w:rPr>
        <w:t>i</w:t>
      </w:r>
      <w:r w:rsidRPr="005B6991">
        <w:rPr>
          <w:sz w:val="20"/>
          <w:szCs w:val="20"/>
        </w:rPr>
        <w:t xml:space="preserve">nvestment </w:t>
      </w:r>
      <w:r w:rsidR="00171B37">
        <w:rPr>
          <w:sz w:val="20"/>
          <w:szCs w:val="20"/>
        </w:rPr>
        <w:t>r</w:t>
      </w:r>
      <w:r w:rsidRPr="005B6991">
        <w:rPr>
          <w:sz w:val="20"/>
          <w:szCs w:val="20"/>
        </w:rPr>
        <w:t xml:space="preserve">isk across markets, countries and investment type.  </w:t>
      </w:r>
      <w:r w:rsidR="00171B37">
        <w:rPr>
          <w:sz w:val="20"/>
          <w:szCs w:val="20"/>
        </w:rPr>
        <w:t>S</w:t>
      </w:r>
      <w:r w:rsidRPr="005B6991">
        <w:rPr>
          <w:sz w:val="20"/>
          <w:szCs w:val="20"/>
        </w:rPr>
        <w:t xml:space="preserve">pecialist Investment Managers manage the Fund’s investments and a list of the Fund’s Investment Managers and the assets they hold </w:t>
      </w:r>
      <w:r w:rsidR="00171B37">
        <w:rPr>
          <w:sz w:val="20"/>
          <w:szCs w:val="20"/>
        </w:rPr>
        <w:t xml:space="preserve">can be found </w:t>
      </w:r>
      <w:r w:rsidRPr="005B6991">
        <w:rPr>
          <w:sz w:val="20"/>
          <w:szCs w:val="20"/>
        </w:rPr>
        <w:t>in the Investment policy and perform</w:t>
      </w:r>
      <w:r w:rsidR="00A105C0">
        <w:rPr>
          <w:sz w:val="20"/>
          <w:szCs w:val="20"/>
        </w:rPr>
        <w:t>ance report, starting on page 29</w:t>
      </w:r>
      <w:r w:rsidRPr="005B6991">
        <w:rPr>
          <w:sz w:val="20"/>
          <w:szCs w:val="20"/>
        </w:rPr>
        <w:t xml:space="preserve"> of the </w:t>
      </w:r>
      <w:r w:rsidR="00171B37">
        <w:rPr>
          <w:sz w:val="20"/>
          <w:szCs w:val="20"/>
        </w:rPr>
        <w:t xml:space="preserve">Fund’s </w:t>
      </w:r>
      <w:r w:rsidRPr="005B6991">
        <w:rPr>
          <w:sz w:val="20"/>
          <w:szCs w:val="20"/>
        </w:rPr>
        <w:t>Annual Report</w:t>
      </w:r>
      <w:r w:rsidR="00171B37">
        <w:rPr>
          <w:sz w:val="20"/>
          <w:szCs w:val="20"/>
        </w:rPr>
        <w:t xml:space="preserve"> and Statement of Accounts</w:t>
      </w:r>
      <w:r w:rsidRPr="005B6991">
        <w:rPr>
          <w:sz w:val="20"/>
          <w:szCs w:val="20"/>
        </w:rPr>
        <w:t>.</w:t>
      </w:r>
    </w:p>
    <w:p w14:paraId="7372820A" w14:textId="77777777" w:rsidR="00171B37" w:rsidRDefault="00B51E6E" w:rsidP="00171B37">
      <w:pPr>
        <w:spacing w:after="80" w:line="240" w:lineRule="auto"/>
        <w:rPr>
          <w:sz w:val="20"/>
          <w:szCs w:val="20"/>
        </w:rPr>
      </w:pPr>
      <w:r w:rsidRPr="005B6991">
        <w:rPr>
          <w:sz w:val="20"/>
          <w:szCs w:val="20"/>
        </w:rPr>
        <w:t xml:space="preserve">All </w:t>
      </w:r>
      <w:r w:rsidR="00171B37">
        <w:rPr>
          <w:sz w:val="20"/>
          <w:szCs w:val="20"/>
        </w:rPr>
        <w:t>i</w:t>
      </w:r>
      <w:r w:rsidRPr="005B6991">
        <w:rPr>
          <w:sz w:val="20"/>
          <w:szCs w:val="20"/>
        </w:rPr>
        <w:t>nvestment assets are held</w:t>
      </w:r>
      <w:r w:rsidR="00171B37">
        <w:rPr>
          <w:sz w:val="20"/>
          <w:szCs w:val="20"/>
        </w:rPr>
        <w:t xml:space="preserve"> securely</w:t>
      </w:r>
      <w:r w:rsidRPr="005B6991">
        <w:rPr>
          <w:sz w:val="20"/>
          <w:szCs w:val="20"/>
        </w:rPr>
        <w:t xml:space="preserve"> by the Fund’s </w:t>
      </w:r>
      <w:r w:rsidRPr="00CE21A5">
        <w:rPr>
          <w:b/>
          <w:sz w:val="20"/>
          <w:szCs w:val="20"/>
        </w:rPr>
        <w:t>Custodian</w:t>
      </w:r>
      <w:r w:rsidRPr="005B6991">
        <w:rPr>
          <w:sz w:val="20"/>
          <w:szCs w:val="20"/>
        </w:rPr>
        <w:t xml:space="preserve">, Northern Trust.  </w:t>
      </w:r>
    </w:p>
    <w:p w14:paraId="076655A7" w14:textId="77777777" w:rsidR="00171B37" w:rsidRPr="00B51E6E" w:rsidRDefault="00171B37" w:rsidP="00171B37">
      <w:pPr>
        <w:spacing w:after="80" w:line="240" w:lineRule="auto"/>
        <w:rPr>
          <w:b/>
          <w:color w:val="002060"/>
          <w:sz w:val="24"/>
          <w:szCs w:val="24"/>
        </w:rPr>
      </w:pPr>
      <w:r w:rsidRPr="00B51E6E">
        <w:rPr>
          <w:b/>
          <w:color w:val="002060"/>
          <w:sz w:val="24"/>
          <w:szCs w:val="24"/>
        </w:rPr>
        <w:t>Investment Risks</w:t>
      </w:r>
    </w:p>
    <w:p w14:paraId="7322642B" w14:textId="77777777" w:rsidR="00171B37" w:rsidRPr="005B6991" w:rsidRDefault="00171B37" w:rsidP="00171B37">
      <w:pPr>
        <w:spacing w:after="80" w:line="240" w:lineRule="auto"/>
        <w:rPr>
          <w:sz w:val="20"/>
          <w:szCs w:val="20"/>
        </w:rPr>
      </w:pPr>
      <w:r w:rsidRPr="005B6991">
        <w:rPr>
          <w:sz w:val="20"/>
          <w:szCs w:val="20"/>
        </w:rPr>
        <w:t>There are many risks inherent in investments.  The Fund addresses these in the following ways:</w:t>
      </w:r>
    </w:p>
    <w:tbl>
      <w:tblPr>
        <w:tblStyle w:val="TableGrid"/>
        <w:tblW w:w="0" w:type="auto"/>
        <w:tblLook w:val="04A0" w:firstRow="1" w:lastRow="0" w:firstColumn="1" w:lastColumn="0" w:noHBand="0" w:noVBand="1"/>
      </w:tblPr>
      <w:tblGrid>
        <w:gridCol w:w="2325"/>
        <w:gridCol w:w="2325"/>
      </w:tblGrid>
      <w:tr w:rsidR="00171B37" w:rsidRPr="005B6991" w14:paraId="6BE9B589" w14:textId="77777777" w:rsidTr="00171B37">
        <w:tc>
          <w:tcPr>
            <w:tcW w:w="2325" w:type="dxa"/>
            <w:shd w:val="clear" w:color="auto" w:fill="2F5496" w:themeFill="accent5" w:themeFillShade="BF"/>
          </w:tcPr>
          <w:p w14:paraId="6A72BBFE" w14:textId="77777777" w:rsidR="00171B37" w:rsidRPr="00171B37" w:rsidRDefault="00171B37" w:rsidP="0081734D">
            <w:pPr>
              <w:spacing w:after="80"/>
              <w:rPr>
                <w:color w:val="FFFFFF" w:themeColor="background1"/>
                <w:sz w:val="20"/>
                <w:szCs w:val="20"/>
              </w:rPr>
            </w:pPr>
            <w:r w:rsidRPr="00171B37">
              <w:rPr>
                <w:b/>
                <w:color w:val="FFFFFF" w:themeColor="background1"/>
                <w:sz w:val="20"/>
                <w:szCs w:val="20"/>
              </w:rPr>
              <w:t>Market risk</w:t>
            </w:r>
            <w:r w:rsidRPr="00171B37">
              <w:rPr>
                <w:color w:val="FFFFFF" w:themeColor="background1"/>
                <w:sz w:val="20"/>
                <w:szCs w:val="20"/>
              </w:rPr>
              <w:t xml:space="preserve"> – investments will reduce in value due to fluctuations in prices, interest rates, exchange rates and credit spreads.  </w:t>
            </w:r>
          </w:p>
        </w:tc>
        <w:tc>
          <w:tcPr>
            <w:tcW w:w="2325" w:type="dxa"/>
          </w:tcPr>
          <w:p w14:paraId="04B78A4B" w14:textId="77777777" w:rsidR="00171B37" w:rsidRPr="005B6991" w:rsidRDefault="00171B37" w:rsidP="0081734D">
            <w:pPr>
              <w:spacing w:after="80"/>
              <w:rPr>
                <w:sz w:val="20"/>
                <w:szCs w:val="20"/>
              </w:rPr>
            </w:pPr>
            <w:r w:rsidRPr="005B6991">
              <w:rPr>
                <w:sz w:val="20"/>
                <w:szCs w:val="20"/>
              </w:rPr>
              <w:t xml:space="preserve">The Fund invests in different markets across the world and in different types of investment to reduce the risk of the </w:t>
            </w:r>
            <w:r w:rsidRPr="00CE21A5">
              <w:rPr>
                <w:b/>
                <w:sz w:val="20"/>
                <w:szCs w:val="20"/>
              </w:rPr>
              <w:t>portfolio</w:t>
            </w:r>
            <w:r w:rsidRPr="005B6991">
              <w:rPr>
                <w:sz w:val="20"/>
                <w:szCs w:val="20"/>
              </w:rPr>
              <w:t xml:space="preserve"> reducing in value.</w:t>
            </w:r>
          </w:p>
        </w:tc>
      </w:tr>
      <w:tr w:rsidR="00171B37" w:rsidRPr="005B6991" w14:paraId="709782CF" w14:textId="77777777" w:rsidTr="00171B37">
        <w:tc>
          <w:tcPr>
            <w:tcW w:w="2325" w:type="dxa"/>
            <w:shd w:val="clear" w:color="auto" w:fill="2F5496" w:themeFill="accent5" w:themeFillShade="BF"/>
          </w:tcPr>
          <w:p w14:paraId="2A93DFB0" w14:textId="77777777" w:rsidR="00171B37" w:rsidRPr="00171B37" w:rsidRDefault="00171B37" w:rsidP="0081734D">
            <w:pPr>
              <w:spacing w:after="80"/>
              <w:rPr>
                <w:color w:val="FFFFFF" w:themeColor="background1"/>
                <w:sz w:val="20"/>
                <w:szCs w:val="20"/>
              </w:rPr>
            </w:pPr>
            <w:r w:rsidRPr="00171B37">
              <w:rPr>
                <w:b/>
                <w:color w:val="FFFFFF" w:themeColor="background1"/>
                <w:sz w:val="20"/>
                <w:szCs w:val="20"/>
              </w:rPr>
              <w:t>Price risk</w:t>
            </w:r>
            <w:r w:rsidRPr="00171B37">
              <w:rPr>
                <w:color w:val="FFFFFF" w:themeColor="background1"/>
                <w:sz w:val="20"/>
                <w:szCs w:val="20"/>
              </w:rPr>
              <w:t xml:space="preserve"> – investments may be incorrectly valued due to price fluctuations or estimates used in pricing.</w:t>
            </w:r>
          </w:p>
        </w:tc>
        <w:tc>
          <w:tcPr>
            <w:tcW w:w="2325" w:type="dxa"/>
          </w:tcPr>
          <w:p w14:paraId="3AE87B88" w14:textId="77777777" w:rsidR="00171B37" w:rsidRPr="005B6991" w:rsidRDefault="00171B37" w:rsidP="00CE21A5">
            <w:pPr>
              <w:spacing w:after="80"/>
              <w:rPr>
                <w:sz w:val="20"/>
                <w:szCs w:val="20"/>
              </w:rPr>
            </w:pPr>
            <w:r w:rsidRPr="005B6991">
              <w:rPr>
                <w:sz w:val="20"/>
                <w:szCs w:val="20"/>
              </w:rPr>
              <w:t>Investments are valued at published prices, where available.  Investments that are not sold on a market are valued by specialist investment managers</w:t>
            </w:r>
            <w:r w:rsidRPr="00C1594B">
              <w:rPr>
                <w:sz w:val="20"/>
                <w:szCs w:val="20"/>
              </w:rPr>
              <w:t>.  Notes 16, 17 and 18 in the Statement of Accounts gives</w:t>
            </w:r>
            <w:r w:rsidRPr="005B6991">
              <w:rPr>
                <w:sz w:val="20"/>
                <w:szCs w:val="20"/>
              </w:rPr>
              <w:t xml:space="preserve"> information about how investments are valued and gives an indication of the value of investments subject to an element of estimation.</w:t>
            </w:r>
          </w:p>
        </w:tc>
      </w:tr>
    </w:tbl>
    <w:p w14:paraId="3EFD13F5" w14:textId="77777777" w:rsidR="00171B37" w:rsidRPr="00B51E6E" w:rsidRDefault="00171B37" w:rsidP="00171B37">
      <w:pPr>
        <w:spacing w:after="80" w:line="240" w:lineRule="auto"/>
        <w:rPr>
          <w:sz w:val="20"/>
          <w:szCs w:val="20"/>
        </w:rPr>
      </w:pPr>
      <w:r w:rsidRPr="00C1594B">
        <w:rPr>
          <w:sz w:val="20"/>
          <w:szCs w:val="20"/>
        </w:rPr>
        <w:t>Note 18</w:t>
      </w:r>
      <w:r w:rsidRPr="00B51E6E">
        <w:rPr>
          <w:sz w:val="20"/>
          <w:szCs w:val="20"/>
        </w:rPr>
        <w:t xml:space="preserve"> in the Statement of Accounts gives more information on risks affecting the Fund’s investments and shows how sensitive the investment values are to changes to these risks.</w:t>
      </w:r>
    </w:p>
    <w:p w14:paraId="06AA4C21" w14:textId="77777777" w:rsidR="00DD39B8" w:rsidRPr="00171B37" w:rsidRDefault="00DD39B8" w:rsidP="00DD39B8">
      <w:pPr>
        <w:spacing w:after="80" w:line="240" w:lineRule="auto"/>
        <w:rPr>
          <w:sz w:val="20"/>
          <w:szCs w:val="20"/>
        </w:rPr>
      </w:pPr>
    </w:p>
    <w:p w14:paraId="3B0D944D" w14:textId="77777777" w:rsidR="00DD39B8" w:rsidRPr="00B51E6E" w:rsidRDefault="00DD39B8" w:rsidP="00DD39B8">
      <w:pPr>
        <w:spacing w:after="80" w:line="240" w:lineRule="auto"/>
        <w:rPr>
          <w:b/>
          <w:color w:val="002060"/>
          <w:sz w:val="24"/>
          <w:szCs w:val="24"/>
        </w:rPr>
      </w:pPr>
      <w:r w:rsidRPr="00B51E6E">
        <w:rPr>
          <w:b/>
          <w:color w:val="002060"/>
          <w:sz w:val="24"/>
          <w:szCs w:val="24"/>
        </w:rPr>
        <w:t>Investment Performance</w:t>
      </w:r>
    </w:p>
    <w:p w14:paraId="570BCC14" w14:textId="77777777" w:rsidR="00DD39B8" w:rsidRPr="005B6991" w:rsidRDefault="00DD39B8" w:rsidP="00DD39B8">
      <w:pPr>
        <w:spacing w:after="80" w:line="240" w:lineRule="auto"/>
        <w:rPr>
          <w:sz w:val="20"/>
          <w:szCs w:val="20"/>
        </w:rPr>
      </w:pPr>
      <w:r w:rsidRPr="005B6991">
        <w:rPr>
          <w:sz w:val="20"/>
          <w:szCs w:val="20"/>
        </w:rPr>
        <w:t xml:space="preserve">The Fund holds investments </w:t>
      </w:r>
      <w:r w:rsidR="00FF2378">
        <w:rPr>
          <w:sz w:val="20"/>
          <w:szCs w:val="20"/>
        </w:rPr>
        <w:t>over the long-term</w:t>
      </w:r>
      <w:r w:rsidRPr="005B6991">
        <w:rPr>
          <w:sz w:val="20"/>
          <w:szCs w:val="20"/>
        </w:rPr>
        <w:t xml:space="preserve"> in order to maximise return.  Due to changeable market conditions, investments will do well in some years and less well in others.  The Fund’s Annual Report </w:t>
      </w:r>
      <w:r>
        <w:rPr>
          <w:sz w:val="20"/>
          <w:szCs w:val="20"/>
        </w:rPr>
        <w:t xml:space="preserve">and Statement of Accounts </w:t>
      </w:r>
      <w:r w:rsidRPr="005B6991">
        <w:rPr>
          <w:sz w:val="20"/>
          <w:szCs w:val="20"/>
        </w:rPr>
        <w:t xml:space="preserve">gives greater details about the Investment Managers the Fund uses, how much money they hold and how the Fund has performed.  See pages </w:t>
      </w:r>
      <w:r w:rsidR="00C1594B">
        <w:rPr>
          <w:sz w:val="20"/>
          <w:szCs w:val="20"/>
        </w:rPr>
        <w:t>29-39</w:t>
      </w:r>
      <w:r w:rsidRPr="005B6991">
        <w:rPr>
          <w:sz w:val="20"/>
          <w:szCs w:val="20"/>
        </w:rPr>
        <w:t xml:space="preserve"> for more information.</w:t>
      </w:r>
    </w:p>
    <w:p w14:paraId="719C4FD6" w14:textId="77777777" w:rsidR="00DD39B8" w:rsidRPr="005B6991" w:rsidRDefault="00DD39B8" w:rsidP="00DD39B8">
      <w:pPr>
        <w:spacing w:after="80" w:line="240" w:lineRule="auto"/>
        <w:rPr>
          <w:sz w:val="20"/>
          <w:szCs w:val="20"/>
        </w:rPr>
      </w:pPr>
      <w:r w:rsidRPr="005B6991">
        <w:rPr>
          <w:sz w:val="20"/>
          <w:szCs w:val="20"/>
        </w:rPr>
        <w:t>The Fund’s investment performance, compared to other LGPS funds, is shown below:</w:t>
      </w:r>
    </w:p>
    <w:p w14:paraId="30226DE1" w14:textId="77777777" w:rsidR="00DD39B8" w:rsidRPr="005B6991" w:rsidRDefault="002B3C58" w:rsidP="00DD39B8">
      <w:pPr>
        <w:spacing w:after="80" w:line="240" w:lineRule="auto"/>
        <w:ind w:hanging="142"/>
        <w:rPr>
          <w:sz w:val="20"/>
          <w:szCs w:val="20"/>
        </w:rPr>
      </w:pPr>
      <w:r>
        <w:rPr>
          <w:noProof/>
          <w:lang w:eastAsia="en-GB"/>
        </w:rPr>
        <w:drawing>
          <wp:inline distT="0" distB="0" distL="0" distR="0" wp14:anchorId="79B06CFE" wp14:editId="762EF53E">
            <wp:extent cx="3324225" cy="1793875"/>
            <wp:effectExtent l="0" t="0" r="952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F8032D" w14:textId="77777777" w:rsidR="00DD39B8" w:rsidRPr="005B6991" w:rsidRDefault="00DD39B8" w:rsidP="00DD39B8">
      <w:pPr>
        <w:spacing w:after="80" w:line="240" w:lineRule="auto"/>
        <w:rPr>
          <w:sz w:val="20"/>
          <w:szCs w:val="20"/>
        </w:rPr>
      </w:pPr>
      <w:r w:rsidRPr="005B6991">
        <w:rPr>
          <w:sz w:val="20"/>
          <w:szCs w:val="20"/>
        </w:rPr>
        <w:t>The table below gives an overview of the Fund’s assets at 31 March 201</w:t>
      </w:r>
      <w:r w:rsidR="00953573">
        <w:rPr>
          <w:sz w:val="20"/>
          <w:szCs w:val="20"/>
        </w:rPr>
        <w:t>9</w:t>
      </w:r>
      <w:r w:rsidRPr="005B6991">
        <w:rPr>
          <w:sz w:val="20"/>
          <w:szCs w:val="20"/>
        </w:rPr>
        <w:t>:</w:t>
      </w:r>
    </w:p>
    <w:tbl>
      <w:tblPr>
        <w:tblStyle w:val="TableGrid"/>
        <w:tblW w:w="4952" w:type="dxa"/>
        <w:tblBorders>
          <w:insideH w:val="none" w:sz="0" w:space="0" w:color="auto"/>
          <w:insideV w:val="none" w:sz="0" w:space="0" w:color="auto"/>
        </w:tblBorders>
        <w:tblLayout w:type="fixed"/>
        <w:tblLook w:val="04A0" w:firstRow="1" w:lastRow="0" w:firstColumn="1" w:lastColumn="0" w:noHBand="0" w:noVBand="1"/>
      </w:tblPr>
      <w:tblGrid>
        <w:gridCol w:w="1090"/>
        <w:gridCol w:w="1599"/>
        <w:gridCol w:w="1134"/>
        <w:gridCol w:w="1129"/>
      </w:tblGrid>
      <w:tr w:rsidR="00DD39B8" w:rsidRPr="005B6991" w14:paraId="509D1100" w14:textId="77777777" w:rsidTr="00CC2B74">
        <w:trPr>
          <w:trHeight w:val="283"/>
        </w:trPr>
        <w:tc>
          <w:tcPr>
            <w:tcW w:w="2689" w:type="dxa"/>
            <w:gridSpan w:val="2"/>
            <w:shd w:val="clear" w:color="auto" w:fill="2F5496" w:themeFill="accent5" w:themeFillShade="BF"/>
          </w:tcPr>
          <w:p w14:paraId="6256724D" w14:textId="77777777" w:rsidR="00DD39B8" w:rsidRPr="00B51E6E" w:rsidRDefault="00DD39B8" w:rsidP="0081734D">
            <w:pPr>
              <w:spacing w:after="80"/>
              <w:jc w:val="center"/>
              <w:rPr>
                <w:b/>
                <w:color w:val="FFFFFF" w:themeColor="background1"/>
                <w:sz w:val="20"/>
                <w:szCs w:val="20"/>
              </w:rPr>
            </w:pPr>
            <w:r w:rsidRPr="00B51E6E">
              <w:rPr>
                <w:b/>
                <w:color w:val="FFFFFF" w:themeColor="background1"/>
                <w:sz w:val="20"/>
                <w:szCs w:val="20"/>
              </w:rPr>
              <w:t>All figures in £000</w:t>
            </w:r>
          </w:p>
        </w:tc>
        <w:tc>
          <w:tcPr>
            <w:tcW w:w="1134" w:type="dxa"/>
            <w:shd w:val="clear" w:color="auto" w:fill="2F5496" w:themeFill="accent5" w:themeFillShade="BF"/>
          </w:tcPr>
          <w:p w14:paraId="38DF1A52" w14:textId="77777777" w:rsidR="00DD39B8" w:rsidRPr="00B51E6E" w:rsidRDefault="006F26ED" w:rsidP="0081734D">
            <w:pPr>
              <w:spacing w:after="80"/>
              <w:jc w:val="center"/>
              <w:rPr>
                <w:b/>
                <w:color w:val="FFFFFF" w:themeColor="background1"/>
                <w:sz w:val="20"/>
                <w:szCs w:val="20"/>
              </w:rPr>
            </w:pPr>
            <w:r>
              <w:rPr>
                <w:b/>
                <w:color w:val="FFFFFF" w:themeColor="background1"/>
                <w:sz w:val="20"/>
                <w:szCs w:val="20"/>
              </w:rPr>
              <w:t>2017-18</w:t>
            </w:r>
          </w:p>
        </w:tc>
        <w:tc>
          <w:tcPr>
            <w:tcW w:w="1129" w:type="dxa"/>
            <w:shd w:val="clear" w:color="auto" w:fill="2F5496" w:themeFill="accent5" w:themeFillShade="BF"/>
          </w:tcPr>
          <w:p w14:paraId="4EEC84DD" w14:textId="77777777" w:rsidR="00DD39B8" w:rsidRPr="00B51E6E" w:rsidRDefault="006F26ED" w:rsidP="0081734D">
            <w:pPr>
              <w:spacing w:after="80"/>
              <w:jc w:val="center"/>
              <w:rPr>
                <w:b/>
                <w:color w:val="FFFFFF" w:themeColor="background1"/>
                <w:sz w:val="20"/>
                <w:szCs w:val="20"/>
              </w:rPr>
            </w:pPr>
            <w:r>
              <w:rPr>
                <w:b/>
                <w:color w:val="FFFFFF" w:themeColor="background1"/>
                <w:sz w:val="20"/>
                <w:szCs w:val="20"/>
              </w:rPr>
              <w:t>2018-19</w:t>
            </w:r>
          </w:p>
        </w:tc>
      </w:tr>
      <w:tr w:rsidR="006F26ED" w:rsidRPr="005B6991" w14:paraId="489D51E2" w14:textId="77777777" w:rsidTr="00CC2B74">
        <w:trPr>
          <w:trHeight w:val="283"/>
        </w:trPr>
        <w:tc>
          <w:tcPr>
            <w:tcW w:w="1090" w:type="dxa"/>
            <w:shd w:val="clear" w:color="auto" w:fill="2F5496" w:themeFill="accent5" w:themeFillShade="BF"/>
            <w:vAlign w:val="center"/>
          </w:tcPr>
          <w:p w14:paraId="714A5029"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UK</w:t>
            </w:r>
          </w:p>
        </w:tc>
        <w:tc>
          <w:tcPr>
            <w:tcW w:w="1599" w:type="dxa"/>
            <w:shd w:val="clear" w:color="auto" w:fill="2F5496" w:themeFill="accent5" w:themeFillShade="BF"/>
            <w:vAlign w:val="center"/>
          </w:tcPr>
          <w:p w14:paraId="094E5F36"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Bonds</w:t>
            </w:r>
          </w:p>
        </w:tc>
        <w:tc>
          <w:tcPr>
            <w:tcW w:w="1134" w:type="dxa"/>
            <w:vAlign w:val="center"/>
          </w:tcPr>
          <w:p w14:paraId="44A73E4B" w14:textId="77777777" w:rsidR="006F26ED" w:rsidRPr="0060079C" w:rsidRDefault="006F26ED" w:rsidP="006F26ED">
            <w:pPr>
              <w:spacing w:after="80"/>
              <w:jc w:val="right"/>
              <w:rPr>
                <w:sz w:val="20"/>
                <w:szCs w:val="20"/>
              </w:rPr>
            </w:pPr>
            <w:r w:rsidRPr="0060079C">
              <w:rPr>
                <w:sz w:val="20"/>
                <w:szCs w:val="20"/>
              </w:rPr>
              <w:t>74,578</w:t>
            </w:r>
          </w:p>
        </w:tc>
        <w:tc>
          <w:tcPr>
            <w:tcW w:w="1129" w:type="dxa"/>
            <w:vAlign w:val="center"/>
          </w:tcPr>
          <w:p w14:paraId="1F64085D" w14:textId="77777777" w:rsidR="006F26ED" w:rsidRPr="006F26ED" w:rsidRDefault="0060079C" w:rsidP="006F26ED">
            <w:pPr>
              <w:spacing w:after="80"/>
              <w:jc w:val="right"/>
              <w:rPr>
                <w:sz w:val="20"/>
                <w:szCs w:val="20"/>
              </w:rPr>
            </w:pPr>
            <w:r>
              <w:rPr>
                <w:sz w:val="20"/>
                <w:szCs w:val="20"/>
              </w:rPr>
              <w:t>79,206</w:t>
            </w:r>
          </w:p>
        </w:tc>
      </w:tr>
      <w:tr w:rsidR="006F26ED" w:rsidRPr="005B6991" w14:paraId="19F7F48E" w14:textId="77777777" w:rsidTr="00CC2B74">
        <w:trPr>
          <w:trHeight w:val="283"/>
        </w:trPr>
        <w:tc>
          <w:tcPr>
            <w:tcW w:w="1090" w:type="dxa"/>
            <w:shd w:val="clear" w:color="auto" w:fill="2F5496" w:themeFill="accent5" w:themeFillShade="BF"/>
            <w:vAlign w:val="center"/>
          </w:tcPr>
          <w:p w14:paraId="20FCF73A" w14:textId="77777777" w:rsidR="006F26ED" w:rsidRPr="00171B37" w:rsidRDefault="006F26ED" w:rsidP="006F26ED">
            <w:pPr>
              <w:spacing w:after="80"/>
              <w:rPr>
                <w:b/>
                <w:color w:val="FFFFFF" w:themeColor="background1"/>
                <w:sz w:val="20"/>
                <w:szCs w:val="20"/>
              </w:rPr>
            </w:pPr>
          </w:p>
        </w:tc>
        <w:tc>
          <w:tcPr>
            <w:tcW w:w="1599" w:type="dxa"/>
            <w:shd w:val="clear" w:color="auto" w:fill="2F5496" w:themeFill="accent5" w:themeFillShade="BF"/>
            <w:vAlign w:val="center"/>
          </w:tcPr>
          <w:p w14:paraId="378BC506"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Equities</w:t>
            </w:r>
          </w:p>
        </w:tc>
        <w:tc>
          <w:tcPr>
            <w:tcW w:w="1134" w:type="dxa"/>
            <w:vAlign w:val="center"/>
          </w:tcPr>
          <w:p w14:paraId="5CD1FC17" w14:textId="77777777" w:rsidR="006F26ED" w:rsidRPr="0060079C" w:rsidRDefault="006F26ED" w:rsidP="006F26ED">
            <w:pPr>
              <w:spacing w:after="80"/>
              <w:jc w:val="right"/>
              <w:rPr>
                <w:sz w:val="20"/>
                <w:szCs w:val="20"/>
              </w:rPr>
            </w:pPr>
            <w:r w:rsidRPr="0060079C">
              <w:rPr>
                <w:sz w:val="20"/>
                <w:szCs w:val="20"/>
              </w:rPr>
              <w:t>615,088</w:t>
            </w:r>
          </w:p>
        </w:tc>
        <w:tc>
          <w:tcPr>
            <w:tcW w:w="1129" w:type="dxa"/>
            <w:vAlign w:val="center"/>
          </w:tcPr>
          <w:p w14:paraId="058FE397" w14:textId="77777777" w:rsidR="006F26ED" w:rsidRPr="006F26ED" w:rsidRDefault="0060079C" w:rsidP="006F26ED">
            <w:pPr>
              <w:spacing w:after="80"/>
              <w:jc w:val="right"/>
              <w:rPr>
                <w:sz w:val="20"/>
                <w:szCs w:val="20"/>
              </w:rPr>
            </w:pPr>
            <w:r>
              <w:rPr>
                <w:sz w:val="20"/>
                <w:szCs w:val="20"/>
              </w:rPr>
              <w:t>428,010</w:t>
            </w:r>
          </w:p>
        </w:tc>
      </w:tr>
      <w:tr w:rsidR="006F26ED" w:rsidRPr="005B6991" w14:paraId="5577286C" w14:textId="77777777" w:rsidTr="00CC2B74">
        <w:trPr>
          <w:trHeight w:val="283"/>
        </w:trPr>
        <w:tc>
          <w:tcPr>
            <w:tcW w:w="1090" w:type="dxa"/>
            <w:shd w:val="clear" w:color="auto" w:fill="2F5496" w:themeFill="accent5" w:themeFillShade="BF"/>
            <w:vAlign w:val="center"/>
          </w:tcPr>
          <w:p w14:paraId="4611C72C" w14:textId="77777777" w:rsidR="006F26ED" w:rsidRPr="00171B37" w:rsidRDefault="006F26ED" w:rsidP="006F26ED">
            <w:pPr>
              <w:spacing w:after="80"/>
              <w:rPr>
                <w:b/>
                <w:color w:val="FFFFFF" w:themeColor="background1"/>
                <w:sz w:val="20"/>
                <w:szCs w:val="20"/>
              </w:rPr>
            </w:pPr>
          </w:p>
        </w:tc>
        <w:tc>
          <w:tcPr>
            <w:tcW w:w="1599" w:type="dxa"/>
            <w:shd w:val="clear" w:color="auto" w:fill="2F5496" w:themeFill="accent5" w:themeFillShade="BF"/>
            <w:vAlign w:val="center"/>
          </w:tcPr>
          <w:p w14:paraId="5ACD3B1A"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Fixed Income</w:t>
            </w:r>
          </w:p>
        </w:tc>
        <w:tc>
          <w:tcPr>
            <w:tcW w:w="1134" w:type="dxa"/>
            <w:vAlign w:val="center"/>
          </w:tcPr>
          <w:p w14:paraId="6BE5F6B2" w14:textId="77777777" w:rsidR="006F26ED" w:rsidRPr="0060079C" w:rsidRDefault="006F26ED" w:rsidP="006F26ED">
            <w:pPr>
              <w:spacing w:after="80"/>
              <w:jc w:val="right"/>
              <w:rPr>
                <w:sz w:val="20"/>
                <w:szCs w:val="20"/>
              </w:rPr>
            </w:pPr>
            <w:r w:rsidRPr="0060079C">
              <w:rPr>
                <w:sz w:val="20"/>
                <w:szCs w:val="20"/>
              </w:rPr>
              <w:t>68,404</w:t>
            </w:r>
          </w:p>
        </w:tc>
        <w:tc>
          <w:tcPr>
            <w:tcW w:w="1129" w:type="dxa"/>
            <w:vAlign w:val="center"/>
          </w:tcPr>
          <w:p w14:paraId="18036413" w14:textId="77777777" w:rsidR="006F26ED" w:rsidRPr="0060079C" w:rsidRDefault="0060079C" w:rsidP="006F26ED">
            <w:pPr>
              <w:spacing w:after="80"/>
              <w:jc w:val="right"/>
              <w:rPr>
                <w:sz w:val="20"/>
                <w:szCs w:val="20"/>
              </w:rPr>
            </w:pPr>
            <w:r w:rsidRPr="0060079C">
              <w:rPr>
                <w:sz w:val="20"/>
                <w:szCs w:val="20"/>
              </w:rPr>
              <w:t>70,173</w:t>
            </w:r>
          </w:p>
        </w:tc>
      </w:tr>
      <w:tr w:rsidR="006F26ED" w:rsidRPr="005B6991" w14:paraId="079DA8DE" w14:textId="77777777" w:rsidTr="00CC2B74">
        <w:trPr>
          <w:trHeight w:val="283"/>
        </w:trPr>
        <w:tc>
          <w:tcPr>
            <w:tcW w:w="1090" w:type="dxa"/>
            <w:shd w:val="clear" w:color="auto" w:fill="2F5496" w:themeFill="accent5" w:themeFillShade="BF"/>
            <w:vAlign w:val="center"/>
          </w:tcPr>
          <w:p w14:paraId="72340B73" w14:textId="77777777" w:rsidR="006F26ED" w:rsidRPr="00171B37" w:rsidRDefault="006F26ED" w:rsidP="006F26ED">
            <w:pPr>
              <w:spacing w:after="80"/>
              <w:rPr>
                <w:b/>
                <w:color w:val="FFFFFF" w:themeColor="background1"/>
                <w:sz w:val="20"/>
                <w:szCs w:val="20"/>
              </w:rPr>
            </w:pPr>
          </w:p>
        </w:tc>
        <w:tc>
          <w:tcPr>
            <w:tcW w:w="1599" w:type="dxa"/>
            <w:shd w:val="clear" w:color="auto" w:fill="2F5496" w:themeFill="accent5" w:themeFillShade="BF"/>
            <w:vAlign w:val="center"/>
          </w:tcPr>
          <w:p w14:paraId="24089306"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Property</w:t>
            </w:r>
          </w:p>
        </w:tc>
        <w:tc>
          <w:tcPr>
            <w:tcW w:w="1134" w:type="dxa"/>
            <w:vAlign w:val="center"/>
          </w:tcPr>
          <w:p w14:paraId="4675C733" w14:textId="77777777" w:rsidR="006F26ED" w:rsidRPr="0060079C" w:rsidRDefault="006F26ED" w:rsidP="006F26ED">
            <w:pPr>
              <w:spacing w:after="80"/>
              <w:jc w:val="right"/>
              <w:rPr>
                <w:sz w:val="20"/>
                <w:szCs w:val="20"/>
              </w:rPr>
            </w:pPr>
            <w:r w:rsidRPr="0060079C">
              <w:rPr>
                <w:sz w:val="20"/>
                <w:szCs w:val="20"/>
              </w:rPr>
              <w:t>206,671</w:t>
            </w:r>
          </w:p>
        </w:tc>
        <w:tc>
          <w:tcPr>
            <w:tcW w:w="1129" w:type="dxa"/>
            <w:vAlign w:val="center"/>
          </w:tcPr>
          <w:p w14:paraId="3C5F4226" w14:textId="77777777" w:rsidR="006F26ED" w:rsidRPr="0060079C" w:rsidRDefault="0060079C" w:rsidP="006F26ED">
            <w:pPr>
              <w:spacing w:after="80"/>
              <w:jc w:val="right"/>
              <w:rPr>
                <w:sz w:val="20"/>
                <w:szCs w:val="20"/>
              </w:rPr>
            </w:pPr>
            <w:r w:rsidRPr="0060079C">
              <w:rPr>
                <w:sz w:val="20"/>
                <w:szCs w:val="20"/>
              </w:rPr>
              <w:t>236,858</w:t>
            </w:r>
          </w:p>
        </w:tc>
      </w:tr>
      <w:tr w:rsidR="006F26ED" w:rsidRPr="005B6991" w14:paraId="78F39687" w14:textId="77777777" w:rsidTr="00CC2B74">
        <w:trPr>
          <w:trHeight w:val="283"/>
        </w:trPr>
        <w:tc>
          <w:tcPr>
            <w:tcW w:w="1090" w:type="dxa"/>
            <w:shd w:val="clear" w:color="auto" w:fill="2F5496" w:themeFill="accent5" w:themeFillShade="BF"/>
            <w:vAlign w:val="center"/>
          </w:tcPr>
          <w:p w14:paraId="18340595"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Overseas</w:t>
            </w:r>
          </w:p>
        </w:tc>
        <w:tc>
          <w:tcPr>
            <w:tcW w:w="1599" w:type="dxa"/>
            <w:shd w:val="clear" w:color="auto" w:fill="2F5496" w:themeFill="accent5" w:themeFillShade="BF"/>
            <w:vAlign w:val="center"/>
          </w:tcPr>
          <w:p w14:paraId="4C3D8A1A"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Equities</w:t>
            </w:r>
          </w:p>
        </w:tc>
        <w:tc>
          <w:tcPr>
            <w:tcW w:w="1134" w:type="dxa"/>
            <w:vAlign w:val="center"/>
          </w:tcPr>
          <w:p w14:paraId="6FA06206" w14:textId="77777777" w:rsidR="006F26ED" w:rsidRPr="00953573" w:rsidRDefault="006F26ED" w:rsidP="006F26ED">
            <w:pPr>
              <w:spacing w:after="80"/>
              <w:jc w:val="right"/>
              <w:rPr>
                <w:sz w:val="20"/>
                <w:szCs w:val="20"/>
                <w:highlight w:val="yellow"/>
              </w:rPr>
            </w:pPr>
            <w:r w:rsidRPr="0060079C">
              <w:rPr>
                <w:sz w:val="20"/>
                <w:szCs w:val="20"/>
              </w:rPr>
              <w:t>1,394,956</w:t>
            </w:r>
          </w:p>
        </w:tc>
        <w:tc>
          <w:tcPr>
            <w:tcW w:w="1129" w:type="dxa"/>
            <w:vAlign w:val="center"/>
          </w:tcPr>
          <w:p w14:paraId="0187D3E8" w14:textId="77777777" w:rsidR="006F26ED" w:rsidRPr="006F26ED" w:rsidRDefault="0060079C" w:rsidP="006F26ED">
            <w:pPr>
              <w:spacing w:after="80"/>
              <w:jc w:val="right"/>
              <w:rPr>
                <w:sz w:val="20"/>
                <w:szCs w:val="20"/>
              </w:rPr>
            </w:pPr>
            <w:r>
              <w:rPr>
                <w:sz w:val="20"/>
                <w:szCs w:val="20"/>
              </w:rPr>
              <w:t>1,737,979</w:t>
            </w:r>
          </w:p>
        </w:tc>
      </w:tr>
      <w:tr w:rsidR="006F26ED" w:rsidRPr="005B6991" w14:paraId="3A822CAD" w14:textId="77777777" w:rsidTr="00CC2B74">
        <w:trPr>
          <w:trHeight w:val="283"/>
        </w:trPr>
        <w:tc>
          <w:tcPr>
            <w:tcW w:w="1090" w:type="dxa"/>
            <w:shd w:val="clear" w:color="auto" w:fill="2F5496" w:themeFill="accent5" w:themeFillShade="BF"/>
            <w:vAlign w:val="center"/>
          </w:tcPr>
          <w:p w14:paraId="3E43E6B7" w14:textId="77777777" w:rsidR="006F26ED" w:rsidRPr="00171B37" w:rsidRDefault="006F26ED" w:rsidP="006F26ED">
            <w:pPr>
              <w:spacing w:after="80"/>
              <w:rPr>
                <w:b/>
                <w:color w:val="FFFFFF" w:themeColor="background1"/>
                <w:sz w:val="20"/>
                <w:szCs w:val="20"/>
              </w:rPr>
            </w:pPr>
          </w:p>
        </w:tc>
        <w:tc>
          <w:tcPr>
            <w:tcW w:w="1599" w:type="dxa"/>
            <w:shd w:val="clear" w:color="auto" w:fill="2F5496" w:themeFill="accent5" w:themeFillShade="BF"/>
            <w:vAlign w:val="center"/>
          </w:tcPr>
          <w:p w14:paraId="4A9FDEE9"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Fixed Income</w:t>
            </w:r>
          </w:p>
        </w:tc>
        <w:tc>
          <w:tcPr>
            <w:tcW w:w="1134" w:type="dxa"/>
            <w:vAlign w:val="center"/>
          </w:tcPr>
          <w:p w14:paraId="74EE2E67" w14:textId="77777777" w:rsidR="006F26ED" w:rsidRPr="00953573" w:rsidRDefault="006F26ED" w:rsidP="006F26ED">
            <w:pPr>
              <w:spacing w:after="80"/>
              <w:jc w:val="right"/>
              <w:rPr>
                <w:sz w:val="20"/>
                <w:szCs w:val="20"/>
                <w:highlight w:val="yellow"/>
              </w:rPr>
            </w:pPr>
            <w:r w:rsidRPr="0060079C">
              <w:rPr>
                <w:sz w:val="20"/>
                <w:szCs w:val="20"/>
              </w:rPr>
              <w:t>228,902</w:t>
            </w:r>
          </w:p>
        </w:tc>
        <w:tc>
          <w:tcPr>
            <w:tcW w:w="1129" w:type="dxa"/>
            <w:vAlign w:val="center"/>
          </w:tcPr>
          <w:p w14:paraId="32E1301E" w14:textId="77777777" w:rsidR="006F26ED" w:rsidRPr="006F26ED" w:rsidRDefault="0060079C" w:rsidP="006F26ED">
            <w:pPr>
              <w:spacing w:after="80"/>
              <w:jc w:val="right"/>
              <w:rPr>
                <w:sz w:val="20"/>
                <w:szCs w:val="20"/>
              </w:rPr>
            </w:pPr>
            <w:r>
              <w:rPr>
                <w:sz w:val="20"/>
                <w:szCs w:val="20"/>
              </w:rPr>
              <w:t>226,543</w:t>
            </w:r>
          </w:p>
        </w:tc>
      </w:tr>
      <w:tr w:rsidR="006F26ED" w:rsidRPr="005B6991" w14:paraId="1676F4B8" w14:textId="77777777" w:rsidTr="00CC2B74">
        <w:trPr>
          <w:trHeight w:val="283"/>
        </w:trPr>
        <w:tc>
          <w:tcPr>
            <w:tcW w:w="1090" w:type="dxa"/>
            <w:shd w:val="clear" w:color="auto" w:fill="2F5496" w:themeFill="accent5" w:themeFillShade="BF"/>
            <w:vAlign w:val="center"/>
          </w:tcPr>
          <w:p w14:paraId="5B9C7F07"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Mixed</w:t>
            </w:r>
          </w:p>
        </w:tc>
        <w:tc>
          <w:tcPr>
            <w:tcW w:w="1599" w:type="dxa"/>
            <w:shd w:val="clear" w:color="auto" w:fill="2F5496" w:themeFill="accent5" w:themeFillShade="BF"/>
            <w:vAlign w:val="center"/>
          </w:tcPr>
          <w:p w14:paraId="3E454125"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Private Equity</w:t>
            </w:r>
          </w:p>
        </w:tc>
        <w:tc>
          <w:tcPr>
            <w:tcW w:w="1134" w:type="dxa"/>
            <w:vAlign w:val="center"/>
          </w:tcPr>
          <w:p w14:paraId="0C5FF708" w14:textId="77777777" w:rsidR="006F26ED" w:rsidRPr="00953573" w:rsidRDefault="006F26ED" w:rsidP="006F26ED">
            <w:pPr>
              <w:spacing w:after="80"/>
              <w:jc w:val="right"/>
              <w:rPr>
                <w:sz w:val="20"/>
                <w:szCs w:val="20"/>
                <w:highlight w:val="yellow"/>
              </w:rPr>
            </w:pPr>
            <w:r w:rsidRPr="0060079C">
              <w:rPr>
                <w:sz w:val="20"/>
                <w:szCs w:val="20"/>
              </w:rPr>
              <w:t>274,393</w:t>
            </w:r>
          </w:p>
        </w:tc>
        <w:tc>
          <w:tcPr>
            <w:tcW w:w="1129" w:type="dxa"/>
            <w:vAlign w:val="center"/>
          </w:tcPr>
          <w:p w14:paraId="1CA23376" w14:textId="77777777" w:rsidR="006F26ED" w:rsidRPr="006F26ED" w:rsidRDefault="0060079C" w:rsidP="006F26ED">
            <w:pPr>
              <w:spacing w:after="80"/>
              <w:jc w:val="right"/>
              <w:rPr>
                <w:sz w:val="20"/>
                <w:szCs w:val="20"/>
              </w:rPr>
            </w:pPr>
            <w:r>
              <w:rPr>
                <w:sz w:val="20"/>
                <w:szCs w:val="20"/>
              </w:rPr>
              <w:t>363,874</w:t>
            </w:r>
          </w:p>
        </w:tc>
      </w:tr>
      <w:tr w:rsidR="006F26ED" w:rsidRPr="005B6991" w14:paraId="022831E1" w14:textId="77777777" w:rsidTr="00CC2B74">
        <w:trPr>
          <w:trHeight w:val="283"/>
        </w:trPr>
        <w:tc>
          <w:tcPr>
            <w:tcW w:w="1090" w:type="dxa"/>
            <w:shd w:val="clear" w:color="auto" w:fill="2F5496" w:themeFill="accent5" w:themeFillShade="BF"/>
            <w:vAlign w:val="center"/>
          </w:tcPr>
          <w:p w14:paraId="7E17F670" w14:textId="77777777" w:rsidR="006F26ED" w:rsidRPr="00171B37" w:rsidRDefault="006F26ED" w:rsidP="006F26ED">
            <w:pPr>
              <w:spacing w:after="80"/>
              <w:rPr>
                <w:b/>
                <w:color w:val="FFFFFF" w:themeColor="background1"/>
                <w:sz w:val="20"/>
                <w:szCs w:val="20"/>
              </w:rPr>
            </w:pPr>
          </w:p>
        </w:tc>
        <w:tc>
          <w:tcPr>
            <w:tcW w:w="1599" w:type="dxa"/>
            <w:shd w:val="clear" w:color="auto" w:fill="2F5496" w:themeFill="accent5" w:themeFillShade="BF"/>
            <w:vAlign w:val="center"/>
          </w:tcPr>
          <w:p w14:paraId="2E7B25E0"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Cash</w:t>
            </w:r>
          </w:p>
        </w:tc>
        <w:tc>
          <w:tcPr>
            <w:tcW w:w="1134" w:type="dxa"/>
            <w:tcBorders>
              <w:bottom w:val="nil"/>
            </w:tcBorders>
            <w:vAlign w:val="center"/>
          </w:tcPr>
          <w:p w14:paraId="4C85AD2C" w14:textId="0B2F32D7" w:rsidR="006F26ED" w:rsidRPr="00CC2B74" w:rsidRDefault="00FB1A8C" w:rsidP="006F26ED">
            <w:pPr>
              <w:spacing w:after="80"/>
              <w:jc w:val="right"/>
              <w:rPr>
                <w:sz w:val="20"/>
                <w:szCs w:val="20"/>
              </w:rPr>
            </w:pPr>
            <w:r>
              <w:rPr>
                <w:sz w:val="20"/>
                <w:szCs w:val="20"/>
              </w:rPr>
              <w:t>53,040</w:t>
            </w:r>
          </w:p>
        </w:tc>
        <w:tc>
          <w:tcPr>
            <w:tcW w:w="1129" w:type="dxa"/>
            <w:tcBorders>
              <w:bottom w:val="nil"/>
            </w:tcBorders>
            <w:vAlign w:val="center"/>
          </w:tcPr>
          <w:p w14:paraId="507AC770" w14:textId="29690273" w:rsidR="006F26ED" w:rsidRPr="006F26ED" w:rsidRDefault="00FB1A8C" w:rsidP="00FB1A8C">
            <w:pPr>
              <w:spacing w:after="80"/>
              <w:jc w:val="right"/>
              <w:rPr>
                <w:sz w:val="20"/>
                <w:szCs w:val="20"/>
              </w:rPr>
            </w:pPr>
            <w:r>
              <w:rPr>
                <w:sz w:val="20"/>
                <w:szCs w:val="20"/>
              </w:rPr>
              <w:t>34,728</w:t>
            </w:r>
          </w:p>
        </w:tc>
      </w:tr>
      <w:tr w:rsidR="006F26ED" w:rsidRPr="005B6991" w14:paraId="63BA9310" w14:textId="77777777" w:rsidTr="00CC2B74">
        <w:trPr>
          <w:trHeight w:val="283"/>
        </w:trPr>
        <w:tc>
          <w:tcPr>
            <w:tcW w:w="2689" w:type="dxa"/>
            <w:gridSpan w:val="2"/>
            <w:shd w:val="clear" w:color="auto" w:fill="2F5496" w:themeFill="accent5" w:themeFillShade="BF"/>
            <w:vAlign w:val="center"/>
          </w:tcPr>
          <w:p w14:paraId="390BBDC9" w14:textId="7D6F3F1E" w:rsidR="006F26ED" w:rsidRPr="00171B37" w:rsidRDefault="006F26ED" w:rsidP="006F26ED">
            <w:pPr>
              <w:spacing w:after="80"/>
              <w:rPr>
                <w:b/>
                <w:color w:val="FFFFFF" w:themeColor="background1"/>
                <w:sz w:val="20"/>
                <w:szCs w:val="20"/>
              </w:rPr>
            </w:pPr>
            <w:r>
              <w:rPr>
                <w:b/>
                <w:color w:val="FFFFFF" w:themeColor="background1"/>
                <w:sz w:val="20"/>
                <w:szCs w:val="20"/>
              </w:rPr>
              <w:t xml:space="preserve">              D</w:t>
            </w:r>
            <w:r w:rsidRPr="00171B37">
              <w:rPr>
                <w:b/>
                <w:color w:val="FFFFFF" w:themeColor="background1"/>
                <w:sz w:val="20"/>
                <w:szCs w:val="20"/>
              </w:rPr>
              <w:t>ebtors/(</w:t>
            </w:r>
            <w:r>
              <w:rPr>
                <w:b/>
                <w:color w:val="FFFFFF" w:themeColor="background1"/>
                <w:sz w:val="20"/>
                <w:szCs w:val="20"/>
              </w:rPr>
              <w:t>C</w:t>
            </w:r>
            <w:r w:rsidRPr="00171B37">
              <w:rPr>
                <w:b/>
                <w:color w:val="FFFFFF" w:themeColor="background1"/>
                <w:sz w:val="20"/>
                <w:szCs w:val="20"/>
              </w:rPr>
              <w:t>reditors)</w:t>
            </w:r>
          </w:p>
        </w:tc>
        <w:tc>
          <w:tcPr>
            <w:tcW w:w="1134" w:type="dxa"/>
            <w:tcBorders>
              <w:top w:val="nil"/>
              <w:bottom w:val="single" w:sz="4" w:space="0" w:color="auto"/>
            </w:tcBorders>
            <w:vAlign w:val="center"/>
          </w:tcPr>
          <w:p w14:paraId="4DC1E398" w14:textId="31DB7DD7" w:rsidR="006F26ED" w:rsidRPr="00CC2B74" w:rsidRDefault="00FB1A8C" w:rsidP="006F26ED">
            <w:pPr>
              <w:spacing w:after="80"/>
              <w:jc w:val="right"/>
              <w:rPr>
                <w:sz w:val="20"/>
                <w:szCs w:val="20"/>
              </w:rPr>
            </w:pPr>
            <w:r>
              <w:rPr>
                <w:sz w:val="20"/>
                <w:szCs w:val="20"/>
              </w:rPr>
              <w:t>53,274</w:t>
            </w:r>
          </w:p>
        </w:tc>
        <w:tc>
          <w:tcPr>
            <w:tcW w:w="1129" w:type="dxa"/>
            <w:tcBorders>
              <w:top w:val="nil"/>
              <w:bottom w:val="single" w:sz="4" w:space="0" w:color="auto"/>
            </w:tcBorders>
            <w:vAlign w:val="center"/>
          </w:tcPr>
          <w:p w14:paraId="355897F1" w14:textId="6DAF2DF9" w:rsidR="00CC2B74" w:rsidRPr="006F26ED" w:rsidRDefault="00FB1A8C" w:rsidP="00CC2B74">
            <w:pPr>
              <w:spacing w:after="80"/>
              <w:jc w:val="right"/>
              <w:rPr>
                <w:sz w:val="20"/>
                <w:szCs w:val="20"/>
              </w:rPr>
            </w:pPr>
            <w:r>
              <w:rPr>
                <w:sz w:val="20"/>
                <w:szCs w:val="20"/>
              </w:rPr>
              <w:t>15,223</w:t>
            </w:r>
          </w:p>
        </w:tc>
      </w:tr>
      <w:tr w:rsidR="006F26ED" w:rsidRPr="005B6991" w14:paraId="6985EB88" w14:textId="77777777" w:rsidTr="00CC2B74">
        <w:trPr>
          <w:trHeight w:val="283"/>
        </w:trPr>
        <w:tc>
          <w:tcPr>
            <w:tcW w:w="2689" w:type="dxa"/>
            <w:gridSpan w:val="2"/>
            <w:shd w:val="clear" w:color="auto" w:fill="2F5496" w:themeFill="accent5" w:themeFillShade="BF"/>
            <w:vAlign w:val="center"/>
          </w:tcPr>
          <w:p w14:paraId="409884F4" w14:textId="77777777" w:rsidR="006F26ED" w:rsidRPr="00171B37" w:rsidRDefault="006F26ED" w:rsidP="006F26ED">
            <w:pPr>
              <w:spacing w:after="80"/>
              <w:rPr>
                <w:b/>
                <w:color w:val="FFFFFF" w:themeColor="background1"/>
                <w:sz w:val="20"/>
                <w:szCs w:val="20"/>
              </w:rPr>
            </w:pPr>
            <w:r w:rsidRPr="00171B37">
              <w:rPr>
                <w:b/>
                <w:color w:val="FFFFFF" w:themeColor="background1"/>
                <w:sz w:val="20"/>
                <w:szCs w:val="20"/>
              </w:rPr>
              <w:t>Total</w:t>
            </w:r>
          </w:p>
        </w:tc>
        <w:tc>
          <w:tcPr>
            <w:tcW w:w="1134" w:type="dxa"/>
            <w:vAlign w:val="center"/>
          </w:tcPr>
          <w:p w14:paraId="60405932" w14:textId="13146CB6" w:rsidR="006F26ED" w:rsidRPr="00171B37" w:rsidRDefault="006F26ED" w:rsidP="00F06E25">
            <w:pPr>
              <w:spacing w:after="80"/>
              <w:jc w:val="right"/>
              <w:rPr>
                <w:b/>
                <w:sz w:val="20"/>
                <w:szCs w:val="20"/>
              </w:rPr>
            </w:pPr>
            <w:r w:rsidRPr="00171B37">
              <w:rPr>
                <w:b/>
                <w:sz w:val="20"/>
                <w:szCs w:val="20"/>
              </w:rPr>
              <w:t>2,</w:t>
            </w:r>
            <w:r>
              <w:rPr>
                <w:b/>
                <w:sz w:val="20"/>
                <w:szCs w:val="20"/>
              </w:rPr>
              <w:t>9</w:t>
            </w:r>
            <w:r w:rsidR="00F06E25">
              <w:rPr>
                <w:b/>
                <w:sz w:val="20"/>
                <w:szCs w:val="20"/>
              </w:rPr>
              <w:t>69,306</w:t>
            </w:r>
          </w:p>
        </w:tc>
        <w:tc>
          <w:tcPr>
            <w:tcW w:w="1129" w:type="dxa"/>
            <w:tcBorders>
              <w:top w:val="single" w:sz="4" w:space="0" w:color="auto"/>
            </w:tcBorders>
            <w:vAlign w:val="center"/>
          </w:tcPr>
          <w:p w14:paraId="6B25D561" w14:textId="229A6015" w:rsidR="006F26ED" w:rsidRPr="00171B37" w:rsidRDefault="00F06E25" w:rsidP="006F26ED">
            <w:pPr>
              <w:spacing w:after="80"/>
              <w:jc w:val="right"/>
              <w:rPr>
                <w:b/>
                <w:sz w:val="20"/>
                <w:szCs w:val="20"/>
              </w:rPr>
            </w:pPr>
            <w:r>
              <w:rPr>
                <w:b/>
                <w:sz w:val="20"/>
                <w:szCs w:val="20"/>
              </w:rPr>
              <w:t>3,192,594</w:t>
            </w:r>
          </w:p>
        </w:tc>
      </w:tr>
    </w:tbl>
    <w:p w14:paraId="5998EBC3" w14:textId="77777777" w:rsidR="00DD39B8" w:rsidRDefault="00DD39B8" w:rsidP="00DD39B8">
      <w:pPr>
        <w:spacing w:after="80" w:line="240" w:lineRule="auto"/>
        <w:rPr>
          <w:b/>
          <w:sz w:val="20"/>
          <w:szCs w:val="20"/>
        </w:rPr>
      </w:pPr>
    </w:p>
    <w:p w14:paraId="2884C503" w14:textId="77777777" w:rsidR="00DD39B8" w:rsidRDefault="00DD39B8" w:rsidP="00DD39B8">
      <w:pPr>
        <w:spacing w:after="80" w:line="240" w:lineRule="auto"/>
        <w:rPr>
          <w:b/>
          <w:sz w:val="20"/>
          <w:szCs w:val="20"/>
        </w:rPr>
      </w:pPr>
      <w:r>
        <w:rPr>
          <w:b/>
          <w:sz w:val="20"/>
          <w:szCs w:val="20"/>
        </w:rPr>
        <w:br w:type="column"/>
      </w:r>
    </w:p>
    <w:p w14:paraId="07C3F7BA" w14:textId="77777777" w:rsidR="00DD39B8" w:rsidRPr="000C2F74" w:rsidRDefault="00DD39B8" w:rsidP="00DD39B8">
      <w:pPr>
        <w:spacing w:after="80" w:line="240" w:lineRule="auto"/>
        <w:rPr>
          <w:b/>
          <w:color w:val="002060"/>
          <w:sz w:val="24"/>
          <w:szCs w:val="24"/>
        </w:rPr>
      </w:pPr>
      <w:r w:rsidRPr="000C2F74">
        <w:rPr>
          <w:b/>
          <w:color w:val="002060"/>
          <w:sz w:val="24"/>
          <w:szCs w:val="24"/>
        </w:rPr>
        <w:t>Governance</w:t>
      </w:r>
    </w:p>
    <w:p w14:paraId="2C947DFA" w14:textId="77777777" w:rsidR="00C64827" w:rsidRDefault="00DD39B8" w:rsidP="00DD39B8">
      <w:pPr>
        <w:spacing w:after="80" w:line="240" w:lineRule="auto"/>
        <w:rPr>
          <w:sz w:val="20"/>
          <w:szCs w:val="20"/>
        </w:rPr>
      </w:pPr>
      <w:r w:rsidRPr="000C2F74">
        <w:rPr>
          <w:sz w:val="20"/>
          <w:szCs w:val="20"/>
        </w:rPr>
        <w:t xml:space="preserve">The </w:t>
      </w:r>
      <w:r>
        <w:rPr>
          <w:sz w:val="20"/>
          <w:szCs w:val="20"/>
        </w:rPr>
        <w:t>activities of the Fund are governed by the Pensions Committee, with investment monitoring undertaken by the Investment Sub-Committee.</w:t>
      </w:r>
      <w:r w:rsidR="00C64827">
        <w:rPr>
          <w:sz w:val="20"/>
          <w:szCs w:val="20"/>
        </w:rPr>
        <w:t xml:space="preserve"> Members of the </w:t>
      </w:r>
      <w:r w:rsidR="00FF2378">
        <w:rPr>
          <w:sz w:val="20"/>
          <w:szCs w:val="20"/>
        </w:rPr>
        <w:t>C</w:t>
      </w:r>
      <w:r w:rsidR="00C64827">
        <w:rPr>
          <w:sz w:val="20"/>
          <w:szCs w:val="20"/>
        </w:rPr>
        <w:t>ommittee include representatives of employing bodies as well as scheme members.</w:t>
      </w:r>
    </w:p>
    <w:p w14:paraId="1BE0AB1A" w14:textId="77777777" w:rsidR="00DD39B8" w:rsidRDefault="00DD39B8" w:rsidP="00DD39B8">
      <w:pPr>
        <w:spacing w:after="80" w:line="240" w:lineRule="auto"/>
        <w:rPr>
          <w:sz w:val="20"/>
          <w:szCs w:val="20"/>
        </w:rPr>
      </w:pPr>
      <w:r>
        <w:rPr>
          <w:sz w:val="20"/>
          <w:szCs w:val="20"/>
        </w:rPr>
        <w:t>The Local Pension Board has responsibility for ensuring there is effective and efficient governance and administration of the Fund.</w:t>
      </w:r>
      <w:r w:rsidR="00C64827">
        <w:rPr>
          <w:sz w:val="20"/>
          <w:szCs w:val="20"/>
        </w:rPr>
        <w:t xml:space="preserve"> Membership of the Board is split evenly across employer and scheme member representatives</w:t>
      </w:r>
    </w:p>
    <w:p w14:paraId="7C7FD82B" w14:textId="77777777" w:rsidR="00DD39B8" w:rsidRDefault="00DD39B8" w:rsidP="00DD39B8">
      <w:pPr>
        <w:spacing w:after="80" w:line="240" w:lineRule="auto"/>
        <w:rPr>
          <w:sz w:val="20"/>
          <w:szCs w:val="20"/>
        </w:rPr>
      </w:pPr>
      <w:r>
        <w:rPr>
          <w:sz w:val="20"/>
          <w:szCs w:val="20"/>
        </w:rPr>
        <w:t xml:space="preserve">A full list of County Councillor, Employer and Member representatives on these committees can be found on the </w:t>
      </w:r>
      <w:r w:rsidR="00FF2378">
        <w:rPr>
          <w:sz w:val="20"/>
          <w:szCs w:val="20"/>
        </w:rPr>
        <w:t>Fund’s</w:t>
      </w:r>
      <w:r>
        <w:rPr>
          <w:sz w:val="20"/>
          <w:szCs w:val="20"/>
        </w:rPr>
        <w:t xml:space="preserve"> website or within the Governance Policy and Compliance Statement in the Fund’s Annual Report and Statement of Accounts.</w:t>
      </w:r>
    </w:p>
    <w:p w14:paraId="55F8EE55" w14:textId="77777777" w:rsidR="00DD39B8" w:rsidRDefault="00DD39B8" w:rsidP="00DD39B8">
      <w:pPr>
        <w:spacing w:after="80" w:line="240" w:lineRule="auto"/>
        <w:rPr>
          <w:sz w:val="20"/>
          <w:szCs w:val="20"/>
        </w:rPr>
      </w:pPr>
    </w:p>
    <w:p w14:paraId="30694C4D" w14:textId="77777777" w:rsidR="00DD39B8" w:rsidRPr="00171B37" w:rsidRDefault="00DD39B8" w:rsidP="00DD39B8">
      <w:pPr>
        <w:spacing w:after="80" w:line="240" w:lineRule="auto"/>
        <w:rPr>
          <w:sz w:val="20"/>
          <w:szCs w:val="20"/>
        </w:rPr>
      </w:pPr>
    </w:p>
    <w:p w14:paraId="250CC60F" w14:textId="77777777" w:rsidR="00DD39B8" w:rsidRDefault="00DD39B8" w:rsidP="00DD39B8">
      <w:pPr>
        <w:spacing w:after="80" w:line="240" w:lineRule="auto"/>
        <w:rPr>
          <w:b/>
          <w:sz w:val="20"/>
          <w:szCs w:val="20"/>
        </w:rPr>
      </w:pPr>
    </w:p>
    <w:p w14:paraId="19ADFD2F" w14:textId="77777777" w:rsidR="00B51E6E" w:rsidRPr="00B51E6E" w:rsidRDefault="00B51E6E" w:rsidP="00B51E6E">
      <w:pPr>
        <w:spacing w:after="120" w:line="240" w:lineRule="auto"/>
        <w:rPr>
          <w:sz w:val="16"/>
          <w:szCs w:val="16"/>
        </w:rPr>
      </w:pPr>
    </w:p>
    <w:sectPr w:rsidR="00B51E6E" w:rsidRPr="00B51E6E" w:rsidSect="00A615B0">
      <w:pgSz w:w="16838" w:h="11906" w:orient="landscape"/>
      <w:pgMar w:top="0" w:right="720" w:bottom="426" w:left="720" w:header="708" w:footer="708" w:gutter="0"/>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C554F"/>
    <w:multiLevelType w:val="hybridMultilevel"/>
    <w:tmpl w:val="B742F1BA"/>
    <w:lvl w:ilvl="0" w:tplc="77D833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03CA3"/>
    <w:multiLevelType w:val="hybridMultilevel"/>
    <w:tmpl w:val="24DA245C"/>
    <w:lvl w:ilvl="0" w:tplc="503ECA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2B"/>
    <w:rsid w:val="000B45F4"/>
    <w:rsid w:val="000B583D"/>
    <w:rsid w:val="000C2F74"/>
    <w:rsid w:val="00120491"/>
    <w:rsid w:val="00121C9A"/>
    <w:rsid w:val="00171B37"/>
    <w:rsid w:val="001844A9"/>
    <w:rsid w:val="001C3431"/>
    <w:rsid w:val="002942D0"/>
    <w:rsid w:val="00296688"/>
    <w:rsid w:val="002A44FE"/>
    <w:rsid w:val="002B1A22"/>
    <w:rsid w:val="002B3C58"/>
    <w:rsid w:val="003A7BB0"/>
    <w:rsid w:val="003C19DB"/>
    <w:rsid w:val="003D169E"/>
    <w:rsid w:val="003F2F22"/>
    <w:rsid w:val="00443D03"/>
    <w:rsid w:val="004842CB"/>
    <w:rsid w:val="004858EE"/>
    <w:rsid w:val="004E4039"/>
    <w:rsid w:val="005520B1"/>
    <w:rsid w:val="00576BF5"/>
    <w:rsid w:val="005B6991"/>
    <w:rsid w:val="005C5EC4"/>
    <w:rsid w:val="0060079C"/>
    <w:rsid w:val="006D15B8"/>
    <w:rsid w:val="006F26ED"/>
    <w:rsid w:val="0079093F"/>
    <w:rsid w:val="00796C55"/>
    <w:rsid w:val="007C502B"/>
    <w:rsid w:val="0080650B"/>
    <w:rsid w:val="00850745"/>
    <w:rsid w:val="00864193"/>
    <w:rsid w:val="00874657"/>
    <w:rsid w:val="00883C87"/>
    <w:rsid w:val="008D3609"/>
    <w:rsid w:val="008E1680"/>
    <w:rsid w:val="00941EEC"/>
    <w:rsid w:val="0095056C"/>
    <w:rsid w:val="00953573"/>
    <w:rsid w:val="00A105C0"/>
    <w:rsid w:val="00A16AD2"/>
    <w:rsid w:val="00A27A3C"/>
    <w:rsid w:val="00A52A16"/>
    <w:rsid w:val="00A615B0"/>
    <w:rsid w:val="00AB7688"/>
    <w:rsid w:val="00AD21CA"/>
    <w:rsid w:val="00AE1AAE"/>
    <w:rsid w:val="00B500E5"/>
    <w:rsid w:val="00B51E6E"/>
    <w:rsid w:val="00C1594B"/>
    <w:rsid w:val="00C22E32"/>
    <w:rsid w:val="00C64827"/>
    <w:rsid w:val="00CC2B74"/>
    <w:rsid w:val="00CE21A5"/>
    <w:rsid w:val="00D13497"/>
    <w:rsid w:val="00D46ED0"/>
    <w:rsid w:val="00DD39B8"/>
    <w:rsid w:val="00EA29C7"/>
    <w:rsid w:val="00F00B77"/>
    <w:rsid w:val="00F039B8"/>
    <w:rsid w:val="00F06E25"/>
    <w:rsid w:val="00F42A14"/>
    <w:rsid w:val="00FB1A8C"/>
    <w:rsid w:val="00FE65B5"/>
    <w:rsid w:val="00FF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8FD1"/>
  <w15:chartTrackingRefBased/>
  <w15:docId w15:val="{529EA329-AA04-4650-872E-23AD506B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02B"/>
    <w:rPr>
      <w:color w:val="0563C1" w:themeColor="hyperlink"/>
      <w:u w:val="single"/>
    </w:rPr>
  </w:style>
  <w:style w:type="table" w:styleId="TableGrid">
    <w:name w:val="Table Grid"/>
    <w:basedOn w:val="TableNormal"/>
    <w:uiPriority w:val="39"/>
    <w:rsid w:val="003F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039"/>
    <w:pPr>
      <w:ind w:left="720"/>
      <w:contextualSpacing/>
    </w:pPr>
  </w:style>
  <w:style w:type="character" w:styleId="CommentReference">
    <w:name w:val="annotation reference"/>
    <w:basedOn w:val="DefaultParagraphFont"/>
    <w:uiPriority w:val="99"/>
    <w:semiHidden/>
    <w:unhideWhenUsed/>
    <w:rsid w:val="00850745"/>
    <w:rPr>
      <w:sz w:val="16"/>
      <w:szCs w:val="16"/>
    </w:rPr>
  </w:style>
  <w:style w:type="paragraph" w:styleId="CommentText">
    <w:name w:val="annotation text"/>
    <w:basedOn w:val="Normal"/>
    <w:link w:val="CommentTextChar"/>
    <w:uiPriority w:val="99"/>
    <w:semiHidden/>
    <w:unhideWhenUsed/>
    <w:rsid w:val="00850745"/>
    <w:pPr>
      <w:spacing w:line="240" w:lineRule="auto"/>
    </w:pPr>
    <w:rPr>
      <w:sz w:val="20"/>
      <w:szCs w:val="20"/>
    </w:rPr>
  </w:style>
  <w:style w:type="character" w:customStyle="1" w:styleId="CommentTextChar">
    <w:name w:val="Comment Text Char"/>
    <w:basedOn w:val="DefaultParagraphFont"/>
    <w:link w:val="CommentText"/>
    <w:uiPriority w:val="99"/>
    <w:semiHidden/>
    <w:rsid w:val="00850745"/>
    <w:rPr>
      <w:sz w:val="20"/>
      <w:szCs w:val="20"/>
    </w:rPr>
  </w:style>
  <w:style w:type="paragraph" w:styleId="CommentSubject">
    <w:name w:val="annotation subject"/>
    <w:basedOn w:val="CommentText"/>
    <w:next w:val="CommentText"/>
    <w:link w:val="CommentSubjectChar"/>
    <w:uiPriority w:val="99"/>
    <w:semiHidden/>
    <w:unhideWhenUsed/>
    <w:rsid w:val="00850745"/>
    <w:rPr>
      <w:b/>
      <w:bCs/>
    </w:rPr>
  </w:style>
  <w:style w:type="character" w:customStyle="1" w:styleId="CommentSubjectChar">
    <w:name w:val="Comment Subject Char"/>
    <w:basedOn w:val="CommentTextChar"/>
    <w:link w:val="CommentSubject"/>
    <w:uiPriority w:val="99"/>
    <w:semiHidden/>
    <w:rsid w:val="00850745"/>
    <w:rPr>
      <w:b/>
      <w:bCs/>
      <w:sz w:val="20"/>
      <w:szCs w:val="20"/>
    </w:rPr>
  </w:style>
  <w:style w:type="paragraph" w:styleId="BalloonText">
    <w:name w:val="Balloon Text"/>
    <w:basedOn w:val="Normal"/>
    <w:link w:val="BalloonTextChar"/>
    <w:uiPriority w:val="99"/>
    <w:semiHidden/>
    <w:unhideWhenUsed/>
    <w:rsid w:val="00850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745"/>
    <w:rPr>
      <w:rFonts w:ascii="Segoe UI" w:hAnsi="Segoe UI" w:cs="Segoe UI"/>
      <w:sz w:val="18"/>
      <w:szCs w:val="18"/>
    </w:rPr>
  </w:style>
  <w:style w:type="character" w:styleId="FollowedHyperlink">
    <w:name w:val="FollowedHyperlink"/>
    <w:basedOn w:val="DefaultParagraphFont"/>
    <w:uiPriority w:val="99"/>
    <w:semiHidden/>
    <w:unhideWhenUsed/>
    <w:rsid w:val="00874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nsions.cambridgeshire.gov.uk/governance/key-documents/cambridgeshire/" TargetMode="External"/><Relationship Id="rId5" Type="http://schemas.openxmlformats.org/officeDocument/2006/relationships/numbering" Target="numbering.xml"/><Relationship Id="rId10" Type="http://schemas.openxmlformats.org/officeDocument/2006/relationships/hyperlink" Target="https://www.cambridgeshire.gov.uk/council/finance-and-budget/statement-of-account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harepoint.lgss.local/sites/fp/pensions/CPF%20Working%20Papers/InvestmentNotes18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'Annual Report Note'!$P$46</c:f>
              <c:strCache>
                <c:ptCount val="1"/>
                <c:pt idx="0">
                  <c:v>Total Fund</c:v>
                </c:pt>
              </c:strCache>
            </c:strRef>
          </c:tx>
          <c:spPr>
            <a:ln w="28575" cap="rnd">
              <a:solidFill>
                <a:srgbClr val="0070C0"/>
              </a:solidFill>
              <a:round/>
            </a:ln>
            <a:effectLst/>
          </c:spPr>
          <c:marker>
            <c:symbol val="none"/>
          </c:marker>
          <c:cat>
            <c:strRef>
              <c:f>'Annual Report Note'!$Q$43:$AA$43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2018 - 2019</c:v>
                </c:pt>
              </c:strCache>
            </c:strRef>
          </c:cat>
          <c:val>
            <c:numRef>
              <c:f>'Annual Report Note'!$Q$46:$AA$46</c:f>
              <c:numCache>
                <c:formatCode>General</c:formatCode>
                <c:ptCount val="11"/>
                <c:pt idx="0">
                  <c:v>-18.8</c:v>
                </c:pt>
                <c:pt idx="1">
                  <c:v>31.9</c:v>
                </c:pt>
                <c:pt idx="2">
                  <c:v>6.9</c:v>
                </c:pt>
                <c:pt idx="3">
                  <c:v>0.5</c:v>
                </c:pt>
                <c:pt idx="4">
                  <c:v>15.4</c:v>
                </c:pt>
                <c:pt idx="5">
                  <c:v>7.8</c:v>
                </c:pt>
                <c:pt idx="6">
                  <c:v>12.2</c:v>
                </c:pt>
                <c:pt idx="7">
                  <c:v>-1.9</c:v>
                </c:pt>
                <c:pt idx="8">
                  <c:v>24.5</c:v>
                </c:pt>
                <c:pt idx="9">
                  <c:v>2.5</c:v>
                </c:pt>
                <c:pt idx="10">
                  <c:v>7.1</c:v>
                </c:pt>
              </c:numCache>
            </c:numRef>
          </c:val>
          <c:smooth val="0"/>
        </c:ser>
        <c:ser>
          <c:idx val="3"/>
          <c:order val="3"/>
          <c:tx>
            <c:strRef>
              <c:f>'Annual Report Note'!$P$47</c:f>
              <c:strCache>
                <c:ptCount val="1"/>
                <c:pt idx="0">
                  <c:v>LA Universe</c:v>
                </c:pt>
              </c:strCache>
            </c:strRef>
          </c:tx>
          <c:spPr>
            <a:ln w="28575" cap="rnd">
              <a:solidFill>
                <a:srgbClr val="ED7D31"/>
              </a:solidFill>
              <a:round/>
            </a:ln>
            <a:effectLst/>
          </c:spPr>
          <c:marker>
            <c:symbol val="none"/>
          </c:marker>
          <c:cat>
            <c:strRef>
              <c:f>'Annual Report Note'!$Q$43:$AA$43</c:f>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2018 - 2019</c:v>
                </c:pt>
              </c:strCache>
            </c:strRef>
          </c:cat>
          <c:val>
            <c:numRef>
              <c:f>'Annual Report Note'!$Q$47:$AA$47</c:f>
              <c:numCache>
                <c:formatCode>General</c:formatCode>
                <c:ptCount val="11"/>
                <c:pt idx="0">
                  <c:v>-19.899999999999999</c:v>
                </c:pt>
                <c:pt idx="1">
                  <c:v>35.200000000000003</c:v>
                </c:pt>
                <c:pt idx="2">
                  <c:v>8.1999999999999993</c:v>
                </c:pt>
                <c:pt idx="3">
                  <c:v>2.6</c:v>
                </c:pt>
                <c:pt idx="4">
                  <c:v>13.8</c:v>
                </c:pt>
                <c:pt idx="5">
                  <c:v>6.4</c:v>
                </c:pt>
                <c:pt idx="6">
                  <c:v>13.2</c:v>
                </c:pt>
                <c:pt idx="7">
                  <c:v>0.2</c:v>
                </c:pt>
                <c:pt idx="8">
                  <c:v>21.4</c:v>
                </c:pt>
                <c:pt idx="9">
                  <c:v>4.5</c:v>
                </c:pt>
                <c:pt idx="10">
                  <c:v>6.6</c:v>
                </c:pt>
              </c:numCache>
            </c:numRef>
          </c:val>
          <c:smooth val="0"/>
        </c:ser>
        <c:dLbls>
          <c:showLegendKey val="0"/>
          <c:showVal val="0"/>
          <c:showCatName val="0"/>
          <c:showSerName val="0"/>
          <c:showPercent val="0"/>
          <c:showBubbleSize val="0"/>
        </c:dLbls>
        <c:smooth val="0"/>
        <c:axId val="203024736"/>
        <c:axId val="203024344"/>
        <c:extLst>
          <c:ext xmlns:c15="http://schemas.microsoft.com/office/drawing/2012/chart" uri="{02D57815-91ED-43cb-92C2-25804820EDAC}">
            <c15:filteredLineSeries>
              <c15:ser>
                <c:idx val="0"/>
                <c:order val="0"/>
                <c:tx>
                  <c:strRef>
                    <c:extLst>
                      <c:ext uri="{02D57815-91ED-43cb-92C2-25804820EDAC}">
                        <c15:formulaRef>
                          <c15:sqref>'Annual Report Note'!$P$44</c15:sqref>
                        </c15:formulaRef>
                      </c:ext>
                    </c:extLst>
                    <c:strCache>
                      <c:ptCount val="1"/>
                      <c:pt idx="0">
                        <c:v>Annual</c:v>
                      </c:pt>
                    </c:strCache>
                  </c:strRef>
                </c:tx>
                <c:spPr>
                  <a:ln w="28575" cap="rnd">
                    <a:solidFill>
                      <a:schemeClr val="accent1"/>
                    </a:solidFill>
                    <a:round/>
                  </a:ln>
                  <a:effectLst/>
                </c:spPr>
                <c:marker>
                  <c:symbol val="none"/>
                </c:marker>
                <c:cat>
                  <c:strRef>
                    <c:extLst>
                      <c:ext uri="{02D57815-91ED-43cb-92C2-25804820EDAC}">
                        <c15:formulaRef>
                          <c15:sqref>'Annual Report Note'!$Q$43:$AA$43</c15:sqref>
                        </c15:formulaRef>
                      </c:ext>
                    </c:extLst>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2018 - 2019</c:v>
                      </c:pt>
                    </c:strCache>
                  </c:strRef>
                </c:cat>
                <c:val>
                  <c:numRef>
                    <c:extLst>
                      <c:ext uri="{02D57815-91ED-43cb-92C2-25804820EDAC}">
                        <c15:formulaRef>
                          <c15:sqref>'Annual Report Note'!$Q$44:$AA$44</c15:sqref>
                        </c15:formulaRef>
                      </c:ext>
                    </c:extLst>
                    <c:numCache>
                      <c:formatCode>General</c:formatCode>
                      <c:ptCount val="11"/>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'Annual Report Note'!$P$45</c15:sqref>
                        </c15:formulaRef>
                      </c:ext>
                    </c:extLst>
                    <c:strCache>
                      <c:ptCount val="1"/>
                      <c:pt idx="0">
                        <c:v>Return (%)</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'Annual Report Note'!$Q$43:$AA$43</c15:sqref>
                        </c15:formulaRef>
                      </c:ext>
                    </c:extLst>
                    <c:strCache>
                      <c:ptCount val="11"/>
                      <c:pt idx="0">
                        <c:v>2008-2009</c:v>
                      </c:pt>
                      <c:pt idx="1">
                        <c:v>2009-2010</c:v>
                      </c:pt>
                      <c:pt idx="2">
                        <c:v>2010-2011</c:v>
                      </c:pt>
                      <c:pt idx="3">
                        <c:v>2011-2012</c:v>
                      </c:pt>
                      <c:pt idx="4">
                        <c:v>2012-2013</c:v>
                      </c:pt>
                      <c:pt idx="5">
                        <c:v>2013-2014</c:v>
                      </c:pt>
                      <c:pt idx="6">
                        <c:v>2014-2015</c:v>
                      </c:pt>
                      <c:pt idx="7">
                        <c:v>2015-2016</c:v>
                      </c:pt>
                      <c:pt idx="8">
                        <c:v>2016-2017</c:v>
                      </c:pt>
                      <c:pt idx="9">
                        <c:v>2017-2018</c:v>
                      </c:pt>
                      <c:pt idx="10">
                        <c:v>2018 - 2019</c:v>
                      </c:pt>
                    </c:strCache>
                  </c:strRef>
                </c:cat>
                <c:val>
                  <c:numRef>
                    <c:extLst xmlns:c15="http://schemas.microsoft.com/office/drawing/2012/chart">
                      <c:ext xmlns:c15="http://schemas.microsoft.com/office/drawing/2012/chart" uri="{02D57815-91ED-43cb-92C2-25804820EDAC}">
                        <c15:formulaRef>
                          <c15:sqref>'Annual Report Note'!$Q$45:$AA$45</c15:sqref>
                        </c15:formulaRef>
                      </c:ext>
                    </c:extLst>
                    <c:numCache>
                      <c:formatCode>General</c:formatCode>
                      <c:ptCount val="11"/>
                    </c:numCache>
                  </c:numRef>
                </c:val>
                <c:smooth val="0"/>
              </c15:ser>
            </c15:filteredLineSeries>
          </c:ext>
        </c:extLst>
      </c:lineChart>
      <c:catAx>
        <c:axId val="203024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024344"/>
        <c:crosses val="autoZero"/>
        <c:auto val="1"/>
        <c:lblAlgn val="ctr"/>
        <c:lblOffset val="100"/>
        <c:noMultiLvlLbl val="0"/>
      </c:catAx>
      <c:valAx>
        <c:axId val="203024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Investment Performance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024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34D1CAC139C4F9E2A184013BE0BB3" ma:contentTypeVersion="3" ma:contentTypeDescription="Create a new document." ma:contentTypeScope="" ma:versionID="b528758591ced4d39b3a79560b8d82f0">
  <xsd:schema xmlns:xsd="http://www.w3.org/2001/XMLSchema" xmlns:xs="http://www.w3.org/2001/XMLSchema" xmlns:p="http://schemas.microsoft.com/office/2006/metadata/properties" xmlns:ns2="e959ac68-712d-4d14-b01b-edf685deb306" targetNamespace="http://schemas.microsoft.com/office/2006/metadata/properties" ma:root="true" ma:fieldsID="9f2456d97aa97189b6ecfd3861577242" ns2:_="">
    <xsd:import namespace="e959ac68-712d-4d14-b01b-edf685deb306"/>
    <xsd:element name="properties">
      <xsd:complexType>
        <xsd:sequence>
          <xsd:element name="documentManagement">
            <xsd:complexType>
              <xsd:all>
                <xsd:element ref="ns2:Statement_x0020_of_x0020_Accounts_x0020_Document" minOccurs="0"/>
                <xsd:element ref="ns2:Scheme_x0020_Year"/>
                <xsd:element ref="ns2:Document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Statement_x0020_of_x0020_Accounts_x0020_Document" ma:index="8" nillable="true" ma:displayName="Statement of Accounts Document" ma:list="{11a30064-540c-4a5e-9c0b-2476e6872395}" ma:internalName="Statement_x0020_of_x0020_Accounts_x0020_Document" ma:showField="Title" ma:web="e959ac68-712d-4d14-b01b-edf685deb306">
      <xsd:simpleType>
        <xsd:restriction base="dms:Lookup"/>
      </xsd:simpleType>
    </xsd:element>
    <xsd:element name="Scheme_x0020_Year" ma:index="9" ma:displayName="Scheme Year" ma:list="{aca16cbd-18de-4987-a762-c32ed4823fd9}" ma:internalName="Scheme_x0020_Year" ma:showField="Title" ma:web="e959ac68-712d-4d14-b01b-edf685deb306">
      <xsd:simpleType>
        <xsd:restriction base="dms:Lookup"/>
      </xsd:simpleType>
    </xsd:element>
    <xsd:element name="Document_x0020_Version" ma:index="10" nillable="true" ma:displayName="Document Version" ma:list="{5274166b-3be1-41a5-adc9-f93b6fa887dc}" ma:internalName="Document_x0020_Version"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eme_x0020_Year xmlns="e959ac68-712d-4d14-b01b-edf685deb306">29</Scheme_x0020_Year>
    <Statement_x0020_of_x0020_Accounts_x0020_Document xmlns="e959ac68-712d-4d14-b01b-edf685deb306">2</Statement_x0020_of_x0020_Accounts_x0020_Document>
    <Document_x0020_Version xmlns="e959ac68-712d-4d14-b01b-edf685deb306">2</Document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657-8FA1-44BB-A811-957338C7F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8AE91-DCAE-4B03-AAE2-76E08932E68F}">
  <ds:schemaRefs>
    <ds:schemaRef ds:uri="e959ac68-712d-4d14-b01b-edf685deb306"/>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8C5312A-1729-4731-A630-11F61D717FD0}">
  <ds:schemaRefs>
    <ds:schemaRef ds:uri="http://schemas.microsoft.com/sharepoint/v3/contenttype/forms"/>
  </ds:schemaRefs>
</ds:datastoreItem>
</file>

<file path=customXml/itemProps4.xml><?xml version="1.0" encoding="utf-8"?>
<ds:datastoreItem xmlns:ds="http://schemas.openxmlformats.org/officeDocument/2006/customXml" ds:itemID="{29B2A440-013B-4978-9573-1EF71058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96113B8D</Template>
  <TotalTime>1</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SupplementaryHandout</vt:lpstr>
    </vt:vector>
  </TitlesOfParts>
  <Company>Northants County Council</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SupplementaryHandout</dc:title>
  <dc:subject/>
  <dc:creator>TPegram</dc:creator>
  <cp:keywords/>
  <dc:description/>
  <cp:lastModifiedBy>TWanshanatha</cp:lastModifiedBy>
  <cp:revision>2</cp:revision>
  <dcterms:created xsi:type="dcterms:W3CDTF">2020-07-07T08:50:00Z</dcterms:created>
  <dcterms:modified xsi:type="dcterms:W3CDTF">2020-07-07T08:50:00Z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0x01010006334D1CAC139C4F9E2A184013BE0BB3</vt:lpwstr>
  </property>
  <property fmtid="{D5CDD505-2E9C-101B-9397-08002B2CF9AE}" pid="3" name="_DocHome">
    <vt:i4>-486399437</vt:i4>
  </property>
</Properties>
</file>