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6B855" w14:textId="5684DC36" w:rsidR="008F429C" w:rsidRPr="008F429C" w:rsidRDefault="00FB38D4" w:rsidP="008F429C">
      <w:pPr>
        <w:spacing w:before="4000" w:after="0" w:line="257" w:lineRule="auto"/>
        <w:ind w:left="0" w:right="-613" w:firstLine="0"/>
        <w:jc w:val="center"/>
        <w:rPr>
          <w:rFonts w:asciiTheme="minorHAnsi" w:hAnsiTheme="minorHAnsi" w:cstheme="minorHAnsi"/>
          <w:color w:val="61207F"/>
          <w:sz w:val="72"/>
          <w:szCs w:val="72"/>
        </w:rPr>
        <w:sectPr w:rsidR="008F429C" w:rsidRPr="008F429C" w:rsidSect="00FB38D4">
          <w:headerReference w:type="default" r:id="rId10"/>
          <w:footerReference w:type="default" r:id="rId11"/>
          <w:pgSz w:w="11906" w:h="16838"/>
          <w:pgMar w:top="993" w:right="1440" w:bottom="1440" w:left="1440" w:header="708" w:footer="708" w:gutter="0"/>
          <w:cols w:space="708"/>
          <w:docGrid w:linePitch="360"/>
        </w:sectPr>
      </w:pPr>
      <w:r w:rsidRPr="008F429C">
        <w:rPr>
          <w:rFonts w:asciiTheme="minorHAnsi" w:hAnsiTheme="minorHAnsi" w:cstheme="minorHAnsi"/>
          <w:color w:val="61207F"/>
          <w:sz w:val="72"/>
          <w:szCs w:val="72"/>
        </w:rPr>
        <w:t>Cash Management Strategy</w:t>
      </w:r>
      <w:r w:rsidR="008F429C" w:rsidRPr="008F429C">
        <w:rPr>
          <w:rFonts w:asciiTheme="minorHAnsi" w:hAnsiTheme="minorHAnsi" w:cstheme="minorHAnsi"/>
          <w:color w:val="61207F"/>
          <w:sz w:val="72"/>
          <w:szCs w:val="72"/>
        </w:rPr>
        <w:t xml:space="preserve"> </w:t>
      </w:r>
      <w:r w:rsidRPr="008F429C">
        <w:rPr>
          <w:rFonts w:asciiTheme="minorHAnsi" w:hAnsiTheme="minorHAnsi" w:cstheme="minorHAnsi"/>
          <w:color w:val="61207F"/>
          <w:sz w:val="72"/>
          <w:szCs w:val="72"/>
        </w:rPr>
        <w:t xml:space="preserve">Published </w:t>
      </w:r>
      <w:r w:rsidR="00903D53">
        <w:rPr>
          <w:rFonts w:asciiTheme="minorHAnsi" w:hAnsiTheme="minorHAnsi" w:cstheme="minorHAnsi"/>
          <w:color w:val="61207F"/>
          <w:sz w:val="72"/>
          <w:szCs w:val="72"/>
        </w:rPr>
        <w:t xml:space="preserve">29 June </w:t>
      </w:r>
      <w:r w:rsidRPr="008F429C">
        <w:rPr>
          <w:rFonts w:asciiTheme="minorHAnsi" w:hAnsiTheme="minorHAnsi" w:cstheme="minorHAnsi"/>
          <w:color w:val="61207F"/>
          <w:sz w:val="72"/>
          <w:szCs w:val="72"/>
        </w:rPr>
        <w:t>2</w:t>
      </w:r>
      <w:r w:rsidR="00E578A5">
        <w:rPr>
          <w:rFonts w:asciiTheme="minorHAnsi" w:hAnsiTheme="minorHAnsi" w:cstheme="minorHAnsi"/>
          <w:color w:val="61207F"/>
          <w:sz w:val="72"/>
          <w:szCs w:val="72"/>
        </w:rPr>
        <w:t>023</w:t>
      </w:r>
    </w:p>
    <w:p w14:paraId="69AFD375" w14:textId="77777777" w:rsidR="00FB38D4" w:rsidRDefault="00FB38D4" w:rsidP="00FB38D4">
      <w:pPr>
        <w:spacing w:after="0" w:line="256" w:lineRule="auto"/>
        <w:ind w:left="568" w:firstLine="0"/>
        <w:jc w:val="left"/>
      </w:pPr>
      <w:r>
        <w:lastRenderedPageBreak/>
        <w:t xml:space="preserve">  </w:t>
      </w:r>
    </w:p>
    <w:p w14:paraId="09DBF372" w14:textId="77777777" w:rsidR="00C06EF8" w:rsidRPr="00FB38D4" w:rsidRDefault="00C06EF8" w:rsidP="00C06EF8">
      <w:pPr>
        <w:pStyle w:val="ListParagraph"/>
        <w:numPr>
          <w:ilvl w:val="0"/>
          <w:numId w:val="1"/>
        </w:numPr>
        <w:spacing w:after="120"/>
        <w:ind w:hanging="720"/>
        <w:contextualSpacing w:val="0"/>
        <w:rPr>
          <w:b/>
        </w:rPr>
      </w:pPr>
      <w:r>
        <w:rPr>
          <w:b/>
        </w:rPr>
        <w:t>Regulations</w:t>
      </w:r>
    </w:p>
    <w:p w14:paraId="56170D6B" w14:textId="77777777" w:rsidR="00C06EF8" w:rsidRDefault="00C06EF8" w:rsidP="00C06EF8">
      <w:pPr>
        <w:pStyle w:val="ListParagraph"/>
        <w:numPr>
          <w:ilvl w:val="2"/>
          <w:numId w:val="2"/>
        </w:numPr>
        <w:spacing w:after="120"/>
        <w:ind w:left="709" w:hanging="709"/>
        <w:contextualSpacing w:val="0"/>
      </w:pPr>
      <w:r>
        <w:t>Under The Local Government Pension Scheme (Management and Investment of Funds) Regulations 2016 the Fund is required to have its own separate bank account (paragraph 6.1). A number of other instructions are set out in the regulations regarding managing the Funds cash, these are listed below.</w:t>
      </w:r>
    </w:p>
    <w:p w14:paraId="4D6A93C4" w14:textId="77777777" w:rsidR="00C06EF8" w:rsidRDefault="00C06EF8" w:rsidP="00C06EF8">
      <w:pPr>
        <w:pStyle w:val="ListParagraph"/>
        <w:numPr>
          <w:ilvl w:val="2"/>
          <w:numId w:val="23"/>
        </w:numPr>
        <w:spacing w:after="120"/>
        <w:ind w:left="1418" w:hanging="709"/>
        <w:contextualSpacing w:val="0"/>
      </w:pPr>
      <w:r w:rsidRPr="004E6C41">
        <w:t>Regulation 5 – Restriction on power to borrow.</w:t>
      </w:r>
      <w:r>
        <w:t xml:space="preserve"> This regulation states that an authority may only borrow by way of temporary loan or overdraft for the purpose of paying benefits due under the scheme or to meet investment commitments.  The authority may only borrow if it reasonably believes that the sum borrowed and interest charged can be repaid by the pension fund within 90 days of borrowing.</w:t>
      </w:r>
    </w:p>
    <w:p w14:paraId="0CB3B480" w14:textId="77777777" w:rsidR="00C06EF8" w:rsidRDefault="00C06EF8" w:rsidP="00C06EF8">
      <w:pPr>
        <w:pStyle w:val="ListParagraph"/>
        <w:numPr>
          <w:ilvl w:val="2"/>
          <w:numId w:val="23"/>
        </w:numPr>
        <w:spacing w:after="120"/>
        <w:ind w:left="1418" w:hanging="709"/>
        <w:contextualSpacing w:val="0"/>
      </w:pPr>
      <w:r w:rsidRPr="004E6C41">
        <w:t>Regulation 7.8 – Investment Strategy Statement.</w:t>
      </w:r>
      <w:r>
        <w:t xml:space="preserve"> The authority must invest, in accordance with its investment strategy, any fund money that is not needed immediately to make payments from the fund.</w:t>
      </w:r>
    </w:p>
    <w:p w14:paraId="6520545C" w14:textId="77777777" w:rsidR="00C06EF8" w:rsidRDefault="00C06EF8" w:rsidP="00C06EF8">
      <w:pPr>
        <w:pStyle w:val="ListParagraph"/>
        <w:spacing w:after="120"/>
        <w:ind w:left="1985"/>
        <w:contextualSpacing w:val="0"/>
      </w:pPr>
    </w:p>
    <w:p w14:paraId="245140AA" w14:textId="77777777" w:rsidR="00C06EF8" w:rsidRDefault="00C06EF8" w:rsidP="00C06EF8">
      <w:pPr>
        <w:pStyle w:val="ListParagraph"/>
        <w:numPr>
          <w:ilvl w:val="0"/>
          <w:numId w:val="1"/>
        </w:numPr>
        <w:spacing w:after="120"/>
        <w:ind w:hanging="720"/>
        <w:contextualSpacing w:val="0"/>
        <w:rPr>
          <w:b/>
        </w:rPr>
      </w:pPr>
      <w:r>
        <w:rPr>
          <w:b/>
        </w:rPr>
        <w:t>Other Regulatory Influences</w:t>
      </w:r>
    </w:p>
    <w:p w14:paraId="5C2A7B2B" w14:textId="77777777" w:rsidR="00C06EF8" w:rsidRDefault="00C06EF8" w:rsidP="00C06EF8">
      <w:pPr>
        <w:pStyle w:val="ListParagraph"/>
        <w:numPr>
          <w:ilvl w:val="0"/>
          <w:numId w:val="3"/>
        </w:numPr>
        <w:spacing w:after="120"/>
        <w:ind w:hanging="720"/>
        <w:contextualSpacing w:val="0"/>
      </w:pPr>
      <w:r>
        <w:t>The Fund will also have regard to:</w:t>
      </w:r>
    </w:p>
    <w:p w14:paraId="64C4106A" w14:textId="77777777" w:rsidR="00C06EF8" w:rsidRDefault="00E6400D" w:rsidP="00C06EF8">
      <w:pPr>
        <w:pStyle w:val="ListParagraph"/>
        <w:numPr>
          <w:ilvl w:val="0"/>
          <w:numId w:val="4"/>
        </w:numPr>
        <w:spacing w:after="0" w:line="244" w:lineRule="auto"/>
        <w:ind w:left="1418" w:hanging="709"/>
      </w:pPr>
      <w:hyperlink r:id="rId12" w:history="1">
        <w:r w:rsidR="00C06EF8">
          <w:rPr>
            <w:rStyle w:val="Hyperlink"/>
          </w:rPr>
          <w:t>Treasury Management in the Public Services: Code of Practice and Cross-Sectoral Guidance Notes (Treasury Management Code) (2011)</w:t>
        </w:r>
      </w:hyperlink>
      <w:r w:rsidR="00C06EF8">
        <w:rPr>
          <w:rStyle w:val="Hyperlink"/>
        </w:rPr>
        <w:t>,</w:t>
      </w:r>
    </w:p>
    <w:p w14:paraId="50B68CA5" w14:textId="77777777" w:rsidR="00C06EF8" w:rsidRDefault="00C06EF8" w:rsidP="00C06EF8">
      <w:pPr>
        <w:pStyle w:val="ListParagraph"/>
        <w:numPr>
          <w:ilvl w:val="0"/>
          <w:numId w:val="4"/>
        </w:numPr>
        <w:spacing w:after="0" w:line="244" w:lineRule="auto"/>
        <w:ind w:left="1418" w:hanging="709"/>
      </w:pPr>
      <w:r>
        <w:t>MHCLG Investment Guidance,</w:t>
      </w:r>
    </w:p>
    <w:p w14:paraId="063E837E" w14:textId="77777777" w:rsidR="00C06EF8" w:rsidRDefault="00C06EF8" w:rsidP="00C06EF8">
      <w:pPr>
        <w:pStyle w:val="ListParagraph"/>
        <w:numPr>
          <w:ilvl w:val="0"/>
          <w:numId w:val="4"/>
        </w:numPr>
        <w:spacing w:after="0" w:line="244" w:lineRule="auto"/>
        <w:ind w:left="1418" w:hanging="709"/>
      </w:pPr>
      <w:r>
        <w:t>The UK Money Markets Code,</w:t>
      </w:r>
    </w:p>
    <w:p w14:paraId="27471B51" w14:textId="77777777" w:rsidR="00C06EF8" w:rsidRDefault="00C06EF8" w:rsidP="00C06EF8">
      <w:pPr>
        <w:pStyle w:val="ListParagraph"/>
        <w:numPr>
          <w:ilvl w:val="0"/>
          <w:numId w:val="4"/>
        </w:numPr>
        <w:spacing w:after="120" w:line="244" w:lineRule="auto"/>
        <w:ind w:left="1418" w:hanging="709"/>
        <w:contextualSpacing w:val="0"/>
      </w:pPr>
      <w:r>
        <w:t>EU Money Market Funds (MMF) Regulation.</w:t>
      </w:r>
    </w:p>
    <w:p w14:paraId="6DEFC226" w14:textId="77777777" w:rsidR="00C06EF8" w:rsidRPr="00474323" w:rsidRDefault="00C06EF8" w:rsidP="00C06EF8">
      <w:pPr>
        <w:pStyle w:val="ListParagraph"/>
        <w:spacing w:after="120" w:line="244" w:lineRule="auto"/>
        <w:ind w:left="1985"/>
        <w:contextualSpacing w:val="0"/>
      </w:pPr>
    </w:p>
    <w:p w14:paraId="21F80FD6" w14:textId="77777777" w:rsidR="00C06EF8" w:rsidRDefault="00C06EF8" w:rsidP="00C06EF8">
      <w:pPr>
        <w:pStyle w:val="ListParagraph"/>
        <w:numPr>
          <w:ilvl w:val="0"/>
          <w:numId w:val="1"/>
        </w:numPr>
        <w:spacing w:after="120"/>
        <w:ind w:hanging="720"/>
        <w:contextualSpacing w:val="0"/>
        <w:rPr>
          <w:b/>
        </w:rPr>
      </w:pPr>
      <w:r>
        <w:rPr>
          <w:b/>
        </w:rPr>
        <w:t>Objectives</w:t>
      </w:r>
    </w:p>
    <w:p w14:paraId="44844B1A" w14:textId="77777777" w:rsidR="00C06EF8" w:rsidRDefault="00C06EF8" w:rsidP="00C06EF8">
      <w:pPr>
        <w:pStyle w:val="ListParagraph"/>
        <w:numPr>
          <w:ilvl w:val="0"/>
          <w:numId w:val="5"/>
        </w:numPr>
        <w:spacing w:after="120"/>
        <w:ind w:left="709" w:hanging="709"/>
        <w:contextualSpacing w:val="0"/>
      </w:pPr>
      <w:r>
        <w:t>The main objectives of a Cash Management Strategy are to ensure that:</w:t>
      </w:r>
    </w:p>
    <w:p w14:paraId="2241ED6D" w14:textId="77777777" w:rsidR="00C06EF8" w:rsidRDefault="00C06EF8" w:rsidP="00C06EF8">
      <w:pPr>
        <w:pStyle w:val="ListParagraph"/>
        <w:numPr>
          <w:ilvl w:val="0"/>
          <w:numId w:val="25"/>
        </w:numPr>
        <w:spacing w:line="244" w:lineRule="auto"/>
        <w:ind w:left="1418" w:hanging="709"/>
      </w:pPr>
      <w:r>
        <w:t>The Fund is compliant with The Local Government Pension Scheme (Management and Investment of Funds) Regulations 2016,</w:t>
      </w:r>
    </w:p>
    <w:p w14:paraId="563E454A" w14:textId="77777777" w:rsidR="00C06EF8" w:rsidRDefault="00C06EF8" w:rsidP="00C06EF8">
      <w:pPr>
        <w:pStyle w:val="ListParagraph"/>
        <w:numPr>
          <w:ilvl w:val="0"/>
          <w:numId w:val="25"/>
        </w:numPr>
        <w:spacing w:line="244" w:lineRule="auto"/>
        <w:ind w:left="1418" w:hanging="709"/>
      </w:pPr>
      <w:r>
        <w:t>Cash is available as and when required,</w:t>
      </w:r>
    </w:p>
    <w:p w14:paraId="2DF507CB" w14:textId="77777777" w:rsidR="00C06EF8" w:rsidRDefault="00C06EF8" w:rsidP="00C06EF8">
      <w:pPr>
        <w:pStyle w:val="ListParagraph"/>
        <w:numPr>
          <w:ilvl w:val="0"/>
          <w:numId w:val="25"/>
        </w:numPr>
        <w:spacing w:line="244" w:lineRule="auto"/>
        <w:ind w:left="1418" w:hanging="709"/>
      </w:pPr>
      <w:r>
        <w:t>Surplus cash is invested,</w:t>
      </w:r>
    </w:p>
    <w:p w14:paraId="2C38BD68" w14:textId="77777777" w:rsidR="00C06EF8" w:rsidRDefault="00C06EF8" w:rsidP="00C06EF8">
      <w:pPr>
        <w:pStyle w:val="ListParagraph"/>
        <w:numPr>
          <w:ilvl w:val="0"/>
          <w:numId w:val="25"/>
        </w:numPr>
        <w:spacing w:after="120" w:line="244" w:lineRule="auto"/>
        <w:ind w:left="1418" w:hanging="709"/>
        <w:contextualSpacing w:val="0"/>
      </w:pPr>
      <w:r>
        <w:t>Risks inherent within the Key Principles are managed.</w:t>
      </w:r>
    </w:p>
    <w:p w14:paraId="17C6FD46" w14:textId="77777777" w:rsidR="00C06EF8" w:rsidRDefault="00C06EF8" w:rsidP="00C06EF8">
      <w:pPr>
        <w:pStyle w:val="ListParagraph"/>
        <w:spacing w:after="120" w:line="244" w:lineRule="auto"/>
        <w:ind w:left="1418"/>
        <w:contextualSpacing w:val="0"/>
      </w:pPr>
    </w:p>
    <w:p w14:paraId="47EF2CA3" w14:textId="77777777" w:rsidR="00C06EF8" w:rsidRDefault="00C06EF8" w:rsidP="00C06EF8">
      <w:pPr>
        <w:pStyle w:val="ListParagraph"/>
        <w:numPr>
          <w:ilvl w:val="0"/>
          <w:numId w:val="1"/>
        </w:numPr>
        <w:spacing w:after="120"/>
        <w:ind w:hanging="720"/>
        <w:contextualSpacing w:val="0"/>
        <w:rPr>
          <w:b/>
        </w:rPr>
      </w:pPr>
      <w:r>
        <w:rPr>
          <w:b/>
        </w:rPr>
        <w:t>Key Principles</w:t>
      </w:r>
    </w:p>
    <w:p w14:paraId="3D904A9F" w14:textId="77777777" w:rsidR="00C06EF8" w:rsidRDefault="00C06EF8" w:rsidP="00C06EF8">
      <w:pPr>
        <w:pStyle w:val="ListParagraph"/>
        <w:numPr>
          <w:ilvl w:val="0"/>
          <w:numId w:val="7"/>
        </w:numPr>
        <w:spacing w:after="120"/>
        <w:ind w:hanging="720"/>
        <w:contextualSpacing w:val="0"/>
      </w:pPr>
      <w:r>
        <w:t>There are three key principles relating to cash management:</w:t>
      </w:r>
    </w:p>
    <w:p w14:paraId="638B94B2" w14:textId="77777777" w:rsidR="00C06EF8" w:rsidRDefault="00C06EF8" w:rsidP="00C06EF8">
      <w:pPr>
        <w:pStyle w:val="ListParagraph"/>
        <w:numPr>
          <w:ilvl w:val="0"/>
          <w:numId w:val="26"/>
        </w:numPr>
        <w:spacing w:line="244" w:lineRule="auto"/>
        <w:ind w:left="1418" w:hanging="709"/>
      </w:pPr>
      <w:r>
        <w:t>Security – Safeguarding Pension Fund assets,</w:t>
      </w:r>
    </w:p>
    <w:p w14:paraId="7CD44FD2" w14:textId="77777777" w:rsidR="00C06EF8" w:rsidRDefault="00C06EF8" w:rsidP="00C06EF8">
      <w:pPr>
        <w:pStyle w:val="ListParagraph"/>
        <w:numPr>
          <w:ilvl w:val="0"/>
          <w:numId w:val="26"/>
        </w:numPr>
        <w:spacing w:line="244" w:lineRule="auto"/>
        <w:ind w:left="1418" w:hanging="709"/>
      </w:pPr>
      <w:r>
        <w:t>Liquidity – Ensuring the Pension Fund has cash available as and when required,</w:t>
      </w:r>
    </w:p>
    <w:p w14:paraId="78071F5A" w14:textId="77777777" w:rsidR="00C06EF8" w:rsidRDefault="00C06EF8" w:rsidP="00C06EF8">
      <w:pPr>
        <w:pStyle w:val="ListParagraph"/>
        <w:numPr>
          <w:ilvl w:val="0"/>
          <w:numId w:val="26"/>
        </w:numPr>
        <w:spacing w:after="120" w:line="244" w:lineRule="auto"/>
        <w:ind w:left="1418" w:hanging="709"/>
        <w:contextualSpacing w:val="0"/>
      </w:pPr>
      <w:r>
        <w:t>Yield – To achieve a market return.</w:t>
      </w:r>
    </w:p>
    <w:p w14:paraId="444AA779" w14:textId="77777777" w:rsidR="00C06EF8" w:rsidRDefault="00C06EF8" w:rsidP="00C06EF8">
      <w:pPr>
        <w:pStyle w:val="ListParagraph"/>
        <w:spacing w:after="120" w:line="244" w:lineRule="auto"/>
        <w:ind w:left="993"/>
        <w:contextualSpacing w:val="0"/>
      </w:pPr>
    </w:p>
    <w:p w14:paraId="7F079675" w14:textId="77777777" w:rsidR="00C06EF8" w:rsidRDefault="00C06EF8" w:rsidP="00C06EF8">
      <w:pPr>
        <w:pStyle w:val="ListParagraph"/>
        <w:numPr>
          <w:ilvl w:val="0"/>
          <w:numId w:val="1"/>
        </w:numPr>
        <w:spacing w:after="120"/>
        <w:ind w:left="709" w:hanging="709"/>
        <w:contextualSpacing w:val="0"/>
        <w:rPr>
          <w:b/>
        </w:rPr>
      </w:pPr>
      <w:r>
        <w:rPr>
          <w:b/>
        </w:rPr>
        <w:t>Overdraft</w:t>
      </w:r>
    </w:p>
    <w:p w14:paraId="61240DF9" w14:textId="77777777" w:rsidR="00C06EF8" w:rsidRDefault="00C06EF8" w:rsidP="00C06EF8">
      <w:pPr>
        <w:pStyle w:val="ListParagraph"/>
        <w:numPr>
          <w:ilvl w:val="0"/>
          <w:numId w:val="9"/>
        </w:numPr>
        <w:spacing w:after="120"/>
        <w:ind w:left="709" w:hanging="709"/>
        <w:contextualSpacing w:val="0"/>
      </w:pPr>
      <w:r>
        <w:t xml:space="preserve">An overdraft is a form of borrowing and the 2016 Regulations specify only two reasons that the Fund can legally overdraw, as set out in paragraph 1.1.1. above. </w:t>
      </w:r>
    </w:p>
    <w:p w14:paraId="3F38F2E2" w14:textId="77777777" w:rsidR="00C06EF8" w:rsidRDefault="00C06EF8" w:rsidP="00C06EF8">
      <w:pPr>
        <w:pStyle w:val="ListParagraph"/>
        <w:numPr>
          <w:ilvl w:val="0"/>
          <w:numId w:val="9"/>
        </w:numPr>
        <w:spacing w:after="120" w:line="244" w:lineRule="auto"/>
        <w:ind w:left="709" w:hanging="709"/>
        <w:contextualSpacing w:val="0"/>
      </w:pPr>
      <w:r>
        <w:lastRenderedPageBreak/>
        <w:t>The Fund bank accounts operate with a zero aggregate overdraft facility, with strong financial control processes over cash activities.</w:t>
      </w:r>
    </w:p>
    <w:p w14:paraId="06CA9163" w14:textId="77777777" w:rsidR="00C06EF8" w:rsidRDefault="00C06EF8" w:rsidP="00C06EF8">
      <w:pPr>
        <w:pStyle w:val="ListParagraph"/>
        <w:numPr>
          <w:ilvl w:val="0"/>
          <w:numId w:val="1"/>
        </w:numPr>
        <w:spacing w:after="120"/>
        <w:ind w:hanging="720"/>
        <w:contextualSpacing w:val="0"/>
        <w:rPr>
          <w:b/>
        </w:rPr>
      </w:pPr>
      <w:r>
        <w:rPr>
          <w:b/>
        </w:rPr>
        <w:t>Cash Arrangements</w:t>
      </w:r>
    </w:p>
    <w:p w14:paraId="243828CE" w14:textId="77777777" w:rsidR="00C06EF8" w:rsidRDefault="00C06EF8" w:rsidP="00C06EF8">
      <w:pPr>
        <w:pStyle w:val="ListParagraph"/>
        <w:numPr>
          <w:ilvl w:val="0"/>
          <w:numId w:val="10"/>
        </w:numPr>
        <w:spacing w:after="120"/>
        <w:ind w:left="709" w:hanging="709"/>
        <w:contextualSpacing w:val="0"/>
      </w:pPr>
      <w:r>
        <w:t xml:space="preserve">The Fund currently holds cash at Barclays and at the Fund’s Custodian Northern Trust, both of which have access to interest bearing accounts. There is </w:t>
      </w:r>
      <w:r>
        <w:rPr>
          <w:b/>
        </w:rPr>
        <w:t>no</w:t>
      </w:r>
      <w:r>
        <w:t xml:space="preserve"> cash held with the Administering Authority.</w:t>
      </w:r>
    </w:p>
    <w:p w14:paraId="19823643" w14:textId="77777777" w:rsidR="00C06EF8" w:rsidRPr="004E6C41" w:rsidRDefault="00C06EF8" w:rsidP="00C06EF8">
      <w:pPr>
        <w:pStyle w:val="ListParagraph"/>
        <w:numPr>
          <w:ilvl w:val="0"/>
          <w:numId w:val="10"/>
        </w:numPr>
        <w:spacing w:after="120"/>
        <w:ind w:left="709" w:hanging="709"/>
        <w:contextualSpacing w:val="0"/>
      </w:pPr>
      <w:r w:rsidRPr="004E6C41">
        <w:t>Barclays Bank Plc</w:t>
      </w:r>
    </w:p>
    <w:p w14:paraId="3368707F" w14:textId="77777777" w:rsidR="00C06EF8" w:rsidRDefault="00C06EF8" w:rsidP="00C06EF8">
      <w:pPr>
        <w:spacing w:after="120"/>
        <w:ind w:left="709"/>
      </w:pPr>
      <w:r>
        <w:t>Operational cash is held at Barclays Bank, managed directly by Officers.  A minimal balance is maintained, varying upon the information available from the three key interfaces:</w:t>
      </w:r>
    </w:p>
    <w:p w14:paraId="48B08EE7" w14:textId="77777777" w:rsidR="00C06EF8" w:rsidRDefault="00C06EF8" w:rsidP="00C06EF8">
      <w:pPr>
        <w:pStyle w:val="ListParagraph"/>
        <w:numPr>
          <w:ilvl w:val="0"/>
          <w:numId w:val="27"/>
        </w:numPr>
        <w:spacing w:after="120"/>
        <w:ind w:left="1560" w:hanging="851"/>
        <w:contextualSpacing w:val="0"/>
      </w:pPr>
      <w:r>
        <w:t>Accounts Receivable - this account receives all contributions, transfers and invoiced income.</w:t>
      </w:r>
    </w:p>
    <w:p w14:paraId="38671ACC" w14:textId="77777777" w:rsidR="00C06EF8" w:rsidRDefault="00C06EF8" w:rsidP="00C06EF8">
      <w:pPr>
        <w:pStyle w:val="ListParagraph"/>
        <w:numPr>
          <w:ilvl w:val="0"/>
          <w:numId w:val="27"/>
        </w:numPr>
        <w:spacing w:after="120"/>
        <w:ind w:left="1560" w:hanging="851"/>
        <w:contextualSpacing w:val="0"/>
      </w:pPr>
      <w:r>
        <w:t>Payroll Account – Pension benefits are paid from this account monthly.</w:t>
      </w:r>
    </w:p>
    <w:p w14:paraId="667BC6A5" w14:textId="77777777" w:rsidR="00C06EF8" w:rsidRDefault="00C06EF8" w:rsidP="00C06EF8">
      <w:pPr>
        <w:pStyle w:val="ListParagraph"/>
        <w:numPr>
          <w:ilvl w:val="0"/>
          <w:numId w:val="27"/>
        </w:numPr>
        <w:spacing w:after="120"/>
        <w:ind w:left="1560" w:hanging="851"/>
        <w:contextualSpacing w:val="0"/>
      </w:pPr>
      <w:r>
        <w:t>Payables Account – All invoice payments, grants and lump sums are payments are made from this account.</w:t>
      </w:r>
    </w:p>
    <w:p w14:paraId="35808D2C" w14:textId="77777777" w:rsidR="00C06EF8" w:rsidRDefault="00C06EF8" w:rsidP="00C06EF8">
      <w:pPr>
        <w:spacing w:after="120"/>
        <w:ind w:left="709"/>
      </w:pPr>
      <w:r>
        <w:t>At close of business each day any surplus/shortfall on the above accounts are swept into an overarching interest bearing Liquidity Account to ensure a residual balance of £10,000 on each.</w:t>
      </w:r>
    </w:p>
    <w:p w14:paraId="1FB493AC" w14:textId="77777777" w:rsidR="00C06EF8" w:rsidRPr="004E6C41" w:rsidRDefault="00C06EF8" w:rsidP="00C06EF8">
      <w:pPr>
        <w:pStyle w:val="ListParagraph"/>
        <w:numPr>
          <w:ilvl w:val="0"/>
          <w:numId w:val="10"/>
        </w:numPr>
        <w:spacing w:after="120"/>
        <w:ind w:left="709" w:hanging="709"/>
        <w:contextualSpacing w:val="0"/>
      </w:pPr>
      <w:r w:rsidRPr="004E6C41">
        <w:t>Northern Trust (Custodian)</w:t>
      </w:r>
    </w:p>
    <w:p w14:paraId="6D91FA49" w14:textId="77777777" w:rsidR="00C06EF8" w:rsidRPr="00FB38D4" w:rsidRDefault="00C06EF8" w:rsidP="00C06EF8">
      <w:pPr>
        <w:spacing w:after="120"/>
        <w:ind w:left="709"/>
      </w:pPr>
      <w:r>
        <w:t xml:space="preserve">The Fund will transfer surplus money from Barclays Bank accounts to the Fund’s account at the Custodian for investment in line with the Fund’s Investment Strategy.  This account also acts as a gateway to receive and pay monies to Investment Managers, for example, cash from Investment distributions. The Fund has a contractual agreement with the Custodian to sweep excess cash into Money Market Funds. </w:t>
      </w:r>
    </w:p>
    <w:p w14:paraId="143BA354" w14:textId="77777777" w:rsidR="00C06EF8" w:rsidRPr="00334A75" w:rsidRDefault="00C06EF8" w:rsidP="00C06EF8">
      <w:pPr>
        <w:pStyle w:val="ListParagraph"/>
        <w:numPr>
          <w:ilvl w:val="0"/>
          <w:numId w:val="10"/>
        </w:numPr>
        <w:spacing w:after="120"/>
        <w:ind w:left="709" w:hanging="709"/>
        <w:contextualSpacing w:val="0"/>
      </w:pPr>
      <w:r w:rsidRPr="004E6C41">
        <w:t>Investment Managers</w:t>
      </w:r>
      <w:r w:rsidRPr="00334A75">
        <w:t xml:space="preserve"> </w:t>
      </w:r>
    </w:p>
    <w:p w14:paraId="4EF59B11" w14:textId="77777777" w:rsidR="00C06EF8" w:rsidRDefault="00C06EF8" w:rsidP="00C06EF8">
      <w:pPr>
        <w:spacing w:after="120"/>
        <w:ind w:left="709"/>
      </w:pPr>
      <w:r>
        <w:t>Investment managers hold cash at Northern Trust as part of their mandates.  Whilst this cash is under the managers’ control, it can be recalled by the Fund.</w:t>
      </w:r>
    </w:p>
    <w:p w14:paraId="3F4AB4F1" w14:textId="77777777" w:rsidR="00C06EF8" w:rsidRPr="00FB38D4" w:rsidRDefault="00C06EF8" w:rsidP="00C06EF8">
      <w:pPr>
        <w:pStyle w:val="ListParagraph"/>
        <w:numPr>
          <w:ilvl w:val="0"/>
          <w:numId w:val="1"/>
        </w:numPr>
        <w:spacing w:after="120"/>
        <w:ind w:left="709" w:hanging="709"/>
        <w:contextualSpacing w:val="0"/>
        <w:rPr>
          <w:b/>
        </w:rPr>
      </w:pPr>
      <w:r>
        <w:rPr>
          <w:b/>
        </w:rPr>
        <w:t>Key Cash Flow Movements/Timings</w:t>
      </w:r>
    </w:p>
    <w:p w14:paraId="300C4C41" w14:textId="77777777" w:rsidR="00C06EF8" w:rsidRPr="004E6C41" w:rsidRDefault="00C06EF8" w:rsidP="00C06EF8">
      <w:pPr>
        <w:pStyle w:val="ListParagraph"/>
        <w:numPr>
          <w:ilvl w:val="0"/>
          <w:numId w:val="21"/>
        </w:numPr>
        <w:spacing w:after="120" w:line="256" w:lineRule="auto"/>
        <w:ind w:left="709" w:hanging="709"/>
        <w:jc w:val="left"/>
      </w:pPr>
      <w:r w:rsidRPr="004E6C41">
        <w:t>Barclays Bank</w:t>
      </w:r>
    </w:p>
    <w:p w14:paraId="62D6371F" w14:textId="77777777" w:rsidR="00C06EF8" w:rsidRDefault="00C06EF8" w:rsidP="00C06EF8">
      <w:pPr>
        <w:spacing w:after="120" w:line="256" w:lineRule="auto"/>
        <w:ind w:left="709"/>
      </w:pPr>
      <w:r>
        <w:t xml:space="preserve">The key activities that occur within the Barclay’s accounts, noted at 6.2. above are monitored by Officers through regular profiling of cash movements, which identifies surplus balances or forecast shortfalls, prompting a transfer of cash to, or from, the Custodian. </w:t>
      </w:r>
    </w:p>
    <w:p w14:paraId="4F0D947A" w14:textId="45AE1C83" w:rsidR="00C06EF8" w:rsidRDefault="00C06EF8" w:rsidP="00C06EF8">
      <w:pPr>
        <w:spacing w:after="120"/>
        <w:ind w:left="709"/>
      </w:pPr>
      <w:r>
        <w:t>There are three streams of activity; receipt of income through Accounts Receivable, payment of pension benefits through payroll and ad hoc payments through Accounts Payable. Contribution income is required to be received by the 19</w:t>
      </w:r>
      <w:r>
        <w:rPr>
          <w:vertAlign w:val="superscript"/>
        </w:rPr>
        <w:t>th</w:t>
      </w:r>
      <w:r>
        <w:t xml:space="preserve"> of the month. This is important as it represents the receipt of income prior to the payment of the pensioners’ payroll on the 25</w:t>
      </w:r>
      <w:r w:rsidRPr="00FB38D4">
        <w:rPr>
          <w:vertAlign w:val="superscript"/>
        </w:rPr>
        <w:t>th</w:t>
      </w:r>
      <w:r>
        <w:t xml:space="preserve"> of the month.  The payments through Accounts Payable occur on an irregular pattern dependent upon demand, with </w:t>
      </w:r>
      <w:r w:rsidR="00C15C45">
        <w:t>the</w:t>
      </w:r>
      <w:r>
        <w:t xml:space="preserve"> main activity being the payment of new pension liabilities such as retirement grants, in addition to death grants</w:t>
      </w:r>
      <w:r w:rsidR="00C15C45">
        <w:t xml:space="preserve">, </w:t>
      </w:r>
      <w:r>
        <w:t>transfers out</w:t>
      </w:r>
      <w:r w:rsidR="00C15C45">
        <w:t xml:space="preserve"> and refunds</w:t>
      </w:r>
      <w:r>
        <w:t xml:space="preserve">. </w:t>
      </w:r>
    </w:p>
    <w:p w14:paraId="5705DB98" w14:textId="77777777" w:rsidR="00C06EF8" w:rsidRDefault="00C06EF8" w:rsidP="00C06EF8">
      <w:pPr>
        <w:spacing w:after="120"/>
        <w:ind w:left="709"/>
      </w:pPr>
    </w:p>
    <w:p w14:paraId="16C636CE" w14:textId="77777777" w:rsidR="00C06EF8" w:rsidRPr="004E6C41" w:rsidRDefault="00C06EF8" w:rsidP="00C06EF8">
      <w:pPr>
        <w:pStyle w:val="ListParagraph"/>
        <w:numPr>
          <w:ilvl w:val="0"/>
          <w:numId w:val="21"/>
        </w:numPr>
        <w:spacing w:after="120" w:line="256" w:lineRule="auto"/>
        <w:ind w:left="709" w:hanging="709"/>
        <w:jc w:val="left"/>
      </w:pPr>
      <w:r w:rsidRPr="004E6C41">
        <w:lastRenderedPageBreak/>
        <w:t>Custodian</w:t>
      </w:r>
    </w:p>
    <w:p w14:paraId="4D31357B" w14:textId="6C892862" w:rsidR="00C06EF8" w:rsidRDefault="00C06EF8" w:rsidP="00C06EF8">
      <w:pPr>
        <w:spacing w:after="120" w:line="256" w:lineRule="auto"/>
        <w:ind w:left="709"/>
      </w:pPr>
      <w:r>
        <w:t>Officers manage the Fund’s cash requirements and will first recall cash from the Custodian cash account, then from Investment Managers, giving regard to the asset allocation, liquidity and exit costs of investment assets, as required.  Similarly, investing of Fund surpluses will also be in line with the Fund’s Investment Strategy.</w:t>
      </w:r>
    </w:p>
    <w:p w14:paraId="64DF170F" w14:textId="16BFFC8F" w:rsidR="006E63C8" w:rsidRDefault="00C15C45" w:rsidP="00C06EF8">
      <w:pPr>
        <w:spacing w:after="120" w:line="256" w:lineRule="auto"/>
        <w:ind w:left="709"/>
      </w:pPr>
      <w:r>
        <w:rPr>
          <w:noProof/>
        </w:rPr>
        <w:drawing>
          <wp:inline distT="0" distB="0" distL="0" distR="0" wp14:anchorId="534CC6EF" wp14:editId="42866983">
            <wp:extent cx="5731510" cy="4394835"/>
            <wp:effectExtent l="0" t="0" r="2540" b="5715"/>
            <wp:docPr id="3" name="Picture 3" descr="Flow chart showing cash flows in and out of the Barclays and Northern Trust bank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low chart showing cash flows in and out of the Barclays and Northern Trust bank account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4394835"/>
                    </a:xfrm>
                    <a:prstGeom prst="rect">
                      <a:avLst/>
                    </a:prstGeom>
                  </pic:spPr>
                </pic:pic>
              </a:graphicData>
            </a:graphic>
          </wp:inline>
        </w:drawing>
      </w:r>
    </w:p>
    <w:p w14:paraId="60DE6142" w14:textId="77777777" w:rsidR="006E63C8" w:rsidRPr="00FB38D4" w:rsidRDefault="006E63C8" w:rsidP="00C06EF8">
      <w:pPr>
        <w:spacing w:after="120" w:line="256" w:lineRule="auto"/>
        <w:ind w:left="709"/>
      </w:pPr>
    </w:p>
    <w:p w14:paraId="73DD95CF" w14:textId="77777777" w:rsidR="00C06EF8" w:rsidRPr="00474323" w:rsidRDefault="00C06EF8" w:rsidP="00C06EF8">
      <w:pPr>
        <w:pStyle w:val="ListParagraph"/>
        <w:numPr>
          <w:ilvl w:val="0"/>
          <w:numId w:val="1"/>
        </w:numPr>
        <w:ind w:hanging="720"/>
        <w:rPr>
          <w:b/>
        </w:rPr>
      </w:pPr>
      <w:r>
        <w:rPr>
          <w:b/>
        </w:rPr>
        <w:t>Operational Issues</w:t>
      </w:r>
    </w:p>
    <w:tbl>
      <w:tblPr>
        <w:tblStyle w:val="TableGrid"/>
        <w:tblW w:w="8647" w:type="dxa"/>
        <w:tblInd w:w="704" w:type="dxa"/>
        <w:tblLook w:val="04A0" w:firstRow="1" w:lastRow="0" w:firstColumn="1" w:lastColumn="0" w:noHBand="0" w:noVBand="1"/>
      </w:tblPr>
      <w:tblGrid>
        <w:gridCol w:w="3039"/>
        <w:gridCol w:w="2765"/>
        <w:gridCol w:w="2843"/>
      </w:tblGrid>
      <w:tr w:rsidR="00C06EF8" w14:paraId="79DD4B64" w14:textId="77777777" w:rsidTr="00F11224">
        <w:tc>
          <w:tcPr>
            <w:tcW w:w="3039" w:type="dxa"/>
            <w:tcBorders>
              <w:top w:val="single" w:sz="4" w:space="0" w:color="auto"/>
              <w:left w:val="single" w:sz="4" w:space="0" w:color="auto"/>
              <w:bottom w:val="single" w:sz="4" w:space="0" w:color="auto"/>
              <w:right w:val="single" w:sz="4" w:space="0" w:color="auto"/>
            </w:tcBorders>
            <w:hideMark/>
          </w:tcPr>
          <w:p w14:paraId="16C91625" w14:textId="77777777" w:rsidR="00C06EF8" w:rsidRDefault="00C06EF8" w:rsidP="00F11224">
            <w:pPr>
              <w:spacing w:line="256" w:lineRule="auto"/>
              <w:rPr>
                <w:b/>
                <w:sz w:val="22"/>
              </w:rPr>
            </w:pPr>
            <w:r>
              <w:rPr>
                <w:b/>
                <w:sz w:val="22"/>
              </w:rPr>
              <w:t>Risk</w:t>
            </w:r>
          </w:p>
        </w:tc>
        <w:tc>
          <w:tcPr>
            <w:tcW w:w="2765" w:type="dxa"/>
            <w:tcBorders>
              <w:top w:val="single" w:sz="4" w:space="0" w:color="auto"/>
              <w:left w:val="single" w:sz="4" w:space="0" w:color="auto"/>
              <w:bottom w:val="single" w:sz="4" w:space="0" w:color="auto"/>
              <w:right w:val="single" w:sz="4" w:space="0" w:color="auto"/>
            </w:tcBorders>
            <w:hideMark/>
          </w:tcPr>
          <w:p w14:paraId="3B634B4E" w14:textId="77777777" w:rsidR="00C06EF8" w:rsidRDefault="00C06EF8" w:rsidP="00F11224">
            <w:pPr>
              <w:spacing w:line="256" w:lineRule="auto"/>
              <w:rPr>
                <w:b/>
                <w:sz w:val="22"/>
              </w:rPr>
            </w:pPr>
            <w:r>
              <w:rPr>
                <w:b/>
                <w:sz w:val="22"/>
              </w:rPr>
              <w:t>Implication</w:t>
            </w:r>
          </w:p>
        </w:tc>
        <w:tc>
          <w:tcPr>
            <w:tcW w:w="2843" w:type="dxa"/>
            <w:tcBorders>
              <w:top w:val="single" w:sz="4" w:space="0" w:color="auto"/>
              <w:left w:val="single" w:sz="4" w:space="0" w:color="auto"/>
              <w:bottom w:val="single" w:sz="4" w:space="0" w:color="auto"/>
              <w:right w:val="single" w:sz="4" w:space="0" w:color="auto"/>
            </w:tcBorders>
            <w:hideMark/>
          </w:tcPr>
          <w:p w14:paraId="6B4CBC36" w14:textId="77777777" w:rsidR="00C06EF8" w:rsidRDefault="00C06EF8" w:rsidP="00F11224">
            <w:pPr>
              <w:spacing w:line="256" w:lineRule="auto"/>
              <w:rPr>
                <w:b/>
                <w:sz w:val="22"/>
              </w:rPr>
            </w:pPr>
            <w:r>
              <w:rPr>
                <w:b/>
                <w:sz w:val="22"/>
              </w:rPr>
              <w:t>Mitigation</w:t>
            </w:r>
          </w:p>
        </w:tc>
      </w:tr>
      <w:tr w:rsidR="00C06EF8" w14:paraId="636BF9C3" w14:textId="77777777" w:rsidTr="00F11224">
        <w:trPr>
          <w:trHeight w:val="2505"/>
        </w:trPr>
        <w:tc>
          <w:tcPr>
            <w:tcW w:w="3039" w:type="dxa"/>
            <w:tcBorders>
              <w:top w:val="single" w:sz="4" w:space="0" w:color="auto"/>
              <w:left w:val="single" w:sz="4" w:space="0" w:color="auto"/>
              <w:bottom w:val="single" w:sz="4" w:space="0" w:color="auto"/>
              <w:right w:val="single" w:sz="4" w:space="0" w:color="auto"/>
            </w:tcBorders>
            <w:hideMark/>
          </w:tcPr>
          <w:p w14:paraId="39A22B32" w14:textId="77777777" w:rsidR="00C06EF8" w:rsidRDefault="00C06EF8" w:rsidP="00472540">
            <w:pPr>
              <w:spacing w:line="256" w:lineRule="auto"/>
              <w:ind w:left="28"/>
              <w:jc w:val="left"/>
              <w:rPr>
                <w:sz w:val="22"/>
              </w:rPr>
            </w:pPr>
            <w:r>
              <w:rPr>
                <w:sz w:val="22"/>
              </w:rPr>
              <w:t xml:space="preserve">Exit payments, where cash is due to Employers within the Fund who have a contribution surplus, and Employers transferring their assets and liabilities out of the Fund, generate risks to cash flows and the balance of cash within the Fund.  </w:t>
            </w:r>
          </w:p>
        </w:tc>
        <w:tc>
          <w:tcPr>
            <w:tcW w:w="2765" w:type="dxa"/>
            <w:tcBorders>
              <w:top w:val="single" w:sz="4" w:space="0" w:color="auto"/>
              <w:left w:val="single" w:sz="4" w:space="0" w:color="auto"/>
              <w:bottom w:val="single" w:sz="4" w:space="0" w:color="auto"/>
              <w:right w:val="single" w:sz="4" w:space="0" w:color="auto"/>
            </w:tcBorders>
            <w:hideMark/>
          </w:tcPr>
          <w:p w14:paraId="1D5FFE59" w14:textId="77777777" w:rsidR="00C06EF8" w:rsidRDefault="00C06EF8" w:rsidP="00C06EF8">
            <w:pPr>
              <w:pStyle w:val="ListParagraph"/>
              <w:numPr>
                <w:ilvl w:val="1"/>
                <w:numId w:val="2"/>
              </w:numPr>
              <w:spacing w:after="0" w:line="256" w:lineRule="auto"/>
              <w:ind w:left="112" w:hanging="112"/>
              <w:jc w:val="left"/>
              <w:rPr>
                <w:sz w:val="22"/>
              </w:rPr>
            </w:pPr>
            <w:r>
              <w:rPr>
                <w:sz w:val="22"/>
              </w:rPr>
              <w:t>Becoming overdrawn</w:t>
            </w:r>
          </w:p>
          <w:p w14:paraId="06AD665D" w14:textId="77777777" w:rsidR="00C06EF8" w:rsidRDefault="00C06EF8" w:rsidP="00C06EF8">
            <w:pPr>
              <w:pStyle w:val="ListParagraph"/>
              <w:numPr>
                <w:ilvl w:val="1"/>
                <w:numId w:val="2"/>
              </w:numPr>
              <w:spacing w:after="0" w:line="256" w:lineRule="auto"/>
              <w:ind w:left="112" w:hanging="112"/>
              <w:jc w:val="left"/>
              <w:rPr>
                <w:sz w:val="22"/>
              </w:rPr>
            </w:pPr>
            <w:r>
              <w:rPr>
                <w:sz w:val="22"/>
              </w:rPr>
              <w:t>Lack of liquidity to fund payments</w:t>
            </w:r>
          </w:p>
        </w:tc>
        <w:tc>
          <w:tcPr>
            <w:tcW w:w="2843" w:type="dxa"/>
            <w:tcBorders>
              <w:top w:val="single" w:sz="4" w:space="0" w:color="auto"/>
              <w:left w:val="single" w:sz="4" w:space="0" w:color="auto"/>
              <w:bottom w:val="single" w:sz="4" w:space="0" w:color="auto"/>
              <w:right w:val="single" w:sz="4" w:space="0" w:color="auto"/>
            </w:tcBorders>
            <w:hideMark/>
          </w:tcPr>
          <w:p w14:paraId="453CC2F2" w14:textId="31A141E9" w:rsidR="00C06EF8" w:rsidRDefault="00C06EF8" w:rsidP="006E63C8">
            <w:pPr>
              <w:pStyle w:val="ListParagraph"/>
              <w:numPr>
                <w:ilvl w:val="1"/>
                <w:numId w:val="12"/>
              </w:numPr>
              <w:spacing w:after="0" w:line="256" w:lineRule="auto"/>
              <w:ind w:left="101" w:hanging="101"/>
              <w:jc w:val="left"/>
              <w:rPr>
                <w:sz w:val="22"/>
              </w:rPr>
            </w:pPr>
            <w:r>
              <w:rPr>
                <w:sz w:val="22"/>
              </w:rPr>
              <w:t xml:space="preserve">Clear inter-team </w:t>
            </w:r>
            <w:r w:rsidR="006E63C8">
              <w:rPr>
                <w:sz w:val="22"/>
              </w:rPr>
              <w:t>c</w:t>
            </w:r>
            <w:r>
              <w:rPr>
                <w:sz w:val="22"/>
              </w:rPr>
              <w:t>ommunication</w:t>
            </w:r>
          </w:p>
          <w:p w14:paraId="470F8A7E" w14:textId="77777777" w:rsidR="00C06EF8" w:rsidRDefault="00C06EF8" w:rsidP="006E63C8">
            <w:pPr>
              <w:pStyle w:val="ListParagraph"/>
              <w:numPr>
                <w:ilvl w:val="1"/>
                <w:numId w:val="2"/>
              </w:numPr>
              <w:spacing w:after="0" w:line="256" w:lineRule="auto"/>
              <w:ind w:left="91" w:hanging="91"/>
              <w:jc w:val="left"/>
              <w:rPr>
                <w:sz w:val="22"/>
              </w:rPr>
            </w:pPr>
            <w:r>
              <w:rPr>
                <w:sz w:val="22"/>
              </w:rPr>
              <w:t>Segregation of duties</w:t>
            </w:r>
          </w:p>
          <w:p w14:paraId="3A40CFAD" w14:textId="77777777" w:rsidR="00C06EF8" w:rsidRDefault="00C06EF8" w:rsidP="006E63C8">
            <w:pPr>
              <w:pStyle w:val="ListParagraph"/>
              <w:numPr>
                <w:ilvl w:val="1"/>
                <w:numId w:val="2"/>
              </w:numPr>
              <w:spacing w:after="0" w:line="256" w:lineRule="auto"/>
              <w:ind w:left="91" w:hanging="91"/>
              <w:jc w:val="left"/>
              <w:rPr>
                <w:sz w:val="22"/>
              </w:rPr>
            </w:pPr>
            <w:r>
              <w:rPr>
                <w:sz w:val="22"/>
              </w:rPr>
              <w:t>Sale of assets</w:t>
            </w:r>
          </w:p>
        </w:tc>
      </w:tr>
      <w:tr w:rsidR="00C06EF8" w14:paraId="0FC22A97" w14:textId="77777777" w:rsidTr="00F11224">
        <w:trPr>
          <w:trHeight w:val="1415"/>
        </w:trPr>
        <w:tc>
          <w:tcPr>
            <w:tcW w:w="3039" w:type="dxa"/>
            <w:tcBorders>
              <w:top w:val="single" w:sz="4" w:space="0" w:color="auto"/>
              <w:left w:val="single" w:sz="4" w:space="0" w:color="auto"/>
              <w:bottom w:val="single" w:sz="4" w:space="0" w:color="auto"/>
              <w:right w:val="single" w:sz="4" w:space="0" w:color="auto"/>
            </w:tcBorders>
            <w:hideMark/>
          </w:tcPr>
          <w:p w14:paraId="4059867B" w14:textId="77777777" w:rsidR="00C06EF8" w:rsidRDefault="00C06EF8" w:rsidP="00472540">
            <w:pPr>
              <w:spacing w:line="256" w:lineRule="auto"/>
              <w:ind w:left="28"/>
              <w:jc w:val="left"/>
              <w:rPr>
                <w:sz w:val="22"/>
              </w:rPr>
            </w:pPr>
            <w:r>
              <w:rPr>
                <w:sz w:val="22"/>
              </w:rPr>
              <w:t>Timing of payments result in payments exceeding the working balance held at Barclays Bank, requiring a recall of cash from the Custodian.</w:t>
            </w:r>
          </w:p>
        </w:tc>
        <w:tc>
          <w:tcPr>
            <w:tcW w:w="2765" w:type="dxa"/>
            <w:tcBorders>
              <w:top w:val="single" w:sz="4" w:space="0" w:color="auto"/>
              <w:left w:val="single" w:sz="4" w:space="0" w:color="auto"/>
              <w:bottom w:val="single" w:sz="4" w:space="0" w:color="auto"/>
              <w:right w:val="single" w:sz="4" w:space="0" w:color="auto"/>
            </w:tcBorders>
            <w:hideMark/>
          </w:tcPr>
          <w:p w14:paraId="4588F1F4" w14:textId="77777777" w:rsidR="00C06EF8" w:rsidRDefault="00C06EF8" w:rsidP="00C06EF8">
            <w:pPr>
              <w:pStyle w:val="ListParagraph"/>
              <w:numPr>
                <w:ilvl w:val="1"/>
                <w:numId w:val="2"/>
              </w:numPr>
              <w:spacing w:after="0" w:line="256" w:lineRule="auto"/>
              <w:ind w:left="112" w:hanging="112"/>
              <w:jc w:val="left"/>
              <w:rPr>
                <w:sz w:val="22"/>
              </w:rPr>
            </w:pPr>
            <w:r>
              <w:rPr>
                <w:sz w:val="22"/>
              </w:rPr>
              <w:t>Becoming overdrawn</w:t>
            </w:r>
          </w:p>
          <w:p w14:paraId="31B6EC3E" w14:textId="77777777" w:rsidR="00C06EF8" w:rsidRDefault="00C06EF8" w:rsidP="00C06EF8">
            <w:pPr>
              <w:pStyle w:val="ListParagraph"/>
              <w:numPr>
                <w:ilvl w:val="1"/>
                <w:numId w:val="2"/>
              </w:numPr>
              <w:spacing w:after="0" w:line="256" w:lineRule="auto"/>
              <w:ind w:left="112" w:hanging="112"/>
              <w:jc w:val="left"/>
              <w:rPr>
                <w:sz w:val="22"/>
              </w:rPr>
            </w:pPr>
            <w:r>
              <w:rPr>
                <w:sz w:val="22"/>
              </w:rPr>
              <w:t>Lack of liquidity to fund payments</w:t>
            </w:r>
          </w:p>
        </w:tc>
        <w:tc>
          <w:tcPr>
            <w:tcW w:w="2843" w:type="dxa"/>
            <w:tcBorders>
              <w:top w:val="single" w:sz="4" w:space="0" w:color="auto"/>
              <w:left w:val="single" w:sz="4" w:space="0" w:color="auto"/>
              <w:bottom w:val="single" w:sz="4" w:space="0" w:color="auto"/>
              <w:right w:val="single" w:sz="4" w:space="0" w:color="auto"/>
            </w:tcBorders>
            <w:hideMark/>
          </w:tcPr>
          <w:p w14:paraId="5191CEC1" w14:textId="77777777" w:rsidR="00C06EF8" w:rsidRDefault="00C06EF8" w:rsidP="00472540">
            <w:pPr>
              <w:spacing w:line="256" w:lineRule="auto"/>
              <w:ind w:left="110" w:hanging="110"/>
              <w:jc w:val="left"/>
              <w:rPr>
                <w:sz w:val="22"/>
              </w:rPr>
            </w:pPr>
            <w:r>
              <w:rPr>
                <w:sz w:val="22"/>
              </w:rPr>
              <w:t>-Stringent cash management and forecasting</w:t>
            </w:r>
          </w:p>
          <w:p w14:paraId="61B59FD9" w14:textId="77777777" w:rsidR="00C06EF8" w:rsidRDefault="00C06EF8" w:rsidP="00472540">
            <w:pPr>
              <w:spacing w:line="256" w:lineRule="auto"/>
              <w:ind w:left="110" w:hanging="110"/>
              <w:jc w:val="left"/>
              <w:rPr>
                <w:sz w:val="22"/>
              </w:rPr>
            </w:pPr>
            <w:r>
              <w:rPr>
                <w:sz w:val="22"/>
              </w:rPr>
              <w:t>-Ability to delay non-essential payments to ease cashflow</w:t>
            </w:r>
          </w:p>
        </w:tc>
      </w:tr>
      <w:tr w:rsidR="00C06EF8" w14:paraId="3625646C" w14:textId="77777777" w:rsidTr="00F11224">
        <w:tc>
          <w:tcPr>
            <w:tcW w:w="3039" w:type="dxa"/>
            <w:tcBorders>
              <w:top w:val="single" w:sz="4" w:space="0" w:color="auto"/>
              <w:left w:val="single" w:sz="4" w:space="0" w:color="auto"/>
              <w:bottom w:val="single" w:sz="4" w:space="0" w:color="auto"/>
              <w:right w:val="single" w:sz="4" w:space="0" w:color="auto"/>
            </w:tcBorders>
            <w:hideMark/>
          </w:tcPr>
          <w:p w14:paraId="26E8A5C5" w14:textId="126A57BF" w:rsidR="00C06EF8" w:rsidRDefault="00C06EF8" w:rsidP="00472540">
            <w:pPr>
              <w:ind w:left="28"/>
              <w:jc w:val="left"/>
              <w:rPr>
                <w:sz w:val="22"/>
              </w:rPr>
            </w:pPr>
            <w:r>
              <w:rPr>
                <w:sz w:val="22"/>
              </w:rPr>
              <w:lastRenderedPageBreak/>
              <w:t>A dependency upon Treasury to action instructions from the Pension Fund in a timely manner.</w:t>
            </w:r>
          </w:p>
        </w:tc>
        <w:tc>
          <w:tcPr>
            <w:tcW w:w="2765" w:type="dxa"/>
            <w:tcBorders>
              <w:top w:val="single" w:sz="4" w:space="0" w:color="auto"/>
              <w:left w:val="single" w:sz="4" w:space="0" w:color="auto"/>
              <w:bottom w:val="single" w:sz="4" w:space="0" w:color="auto"/>
              <w:right w:val="single" w:sz="4" w:space="0" w:color="auto"/>
            </w:tcBorders>
            <w:hideMark/>
          </w:tcPr>
          <w:p w14:paraId="462C31E9" w14:textId="77777777" w:rsidR="00C06EF8" w:rsidRDefault="00C06EF8" w:rsidP="00F11224">
            <w:pPr>
              <w:spacing w:line="256" w:lineRule="auto"/>
              <w:ind w:left="126" w:hanging="126"/>
              <w:rPr>
                <w:sz w:val="22"/>
              </w:rPr>
            </w:pPr>
            <w:r>
              <w:rPr>
                <w:sz w:val="22"/>
              </w:rPr>
              <w:t>- Lack of liquidity to fund payments</w:t>
            </w:r>
          </w:p>
        </w:tc>
        <w:tc>
          <w:tcPr>
            <w:tcW w:w="2843" w:type="dxa"/>
            <w:tcBorders>
              <w:top w:val="single" w:sz="4" w:space="0" w:color="auto"/>
              <w:left w:val="single" w:sz="4" w:space="0" w:color="auto"/>
              <w:bottom w:val="single" w:sz="4" w:space="0" w:color="auto"/>
              <w:right w:val="single" w:sz="4" w:space="0" w:color="auto"/>
            </w:tcBorders>
          </w:tcPr>
          <w:p w14:paraId="28838C17" w14:textId="77777777" w:rsidR="00C06EF8" w:rsidRDefault="00C06EF8" w:rsidP="00472540">
            <w:pPr>
              <w:spacing w:line="256" w:lineRule="auto"/>
              <w:ind w:left="110" w:hanging="110"/>
              <w:jc w:val="left"/>
              <w:rPr>
                <w:sz w:val="22"/>
              </w:rPr>
            </w:pPr>
            <w:r>
              <w:rPr>
                <w:sz w:val="22"/>
              </w:rPr>
              <w:t>-Stringent cash management and forecasting</w:t>
            </w:r>
          </w:p>
          <w:p w14:paraId="59A21D07" w14:textId="77777777" w:rsidR="00C06EF8" w:rsidRDefault="00C06EF8" w:rsidP="006E63C8">
            <w:pPr>
              <w:pStyle w:val="ListParagraph"/>
              <w:numPr>
                <w:ilvl w:val="1"/>
                <w:numId w:val="2"/>
              </w:numPr>
              <w:spacing w:after="0" w:line="256" w:lineRule="auto"/>
              <w:ind w:left="91" w:hanging="91"/>
              <w:jc w:val="left"/>
              <w:rPr>
                <w:sz w:val="22"/>
              </w:rPr>
            </w:pPr>
            <w:r>
              <w:rPr>
                <w:sz w:val="22"/>
              </w:rPr>
              <w:t>Segregation of duties</w:t>
            </w:r>
          </w:p>
          <w:p w14:paraId="3B408B1B" w14:textId="77777777" w:rsidR="00C06EF8" w:rsidRDefault="00C06EF8" w:rsidP="00472540">
            <w:pPr>
              <w:spacing w:line="256" w:lineRule="auto"/>
              <w:jc w:val="left"/>
              <w:rPr>
                <w:sz w:val="22"/>
              </w:rPr>
            </w:pPr>
          </w:p>
        </w:tc>
      </w:tr>
      <w:tr w:rsidR="00C06EF8" w14:paraId="298821D6" w14:textId="77777777" w:rsidTr="00F11224">
        <w:tc>
          <w:tcPr>
            <w:tcW w:w="3039" w:type="dxa"/>
            <w:tcBorders>
              <w:top w:val="single" w:sz="4" w:space="0" w:color="auto"/>
              <w:left w:val="single" w:sz="4" w:space="0" w:color="auto"/>
              <w:bottom w:val="single" w:sz="4" w:space="0" w:color="auto"/>
              <w:right w:val="single" w:sz="4" w:space="0" w:color="auto"/>
            </w:tcBorders>
            <w:hideMark/>
          </w:tcPr>
          <w:p w14:paraId="538A665D" w14:textId="77777777" w:rsidR="00C06EF8" w:rsidRDefault="00C06EF8" w:rsidP="00472540">
            <w:pPr>
              <w:spacing w:line="256" w:lineRule="auto"/>
              <w:ind w:left="28"/>
              <w:jc w:val="left"/>
              <w:rPr>
                <w:sz w:val="22"/>
              </w:rPr>
            </w:pPr>
            <w:r>
              <w:rPr>
                <w:sz w:val="22"/>
              </w:rPr>
              <w:t>An investment draw down where insufficient cash is held by the Custodian on behalf of the Fund.</w:t>
            </w:r>
          </w:p>
        </w:tc>
        <w:tc>
          <w:tcPr>
            <w:tcW w:w="2765" w:type="dxa"/>
            <w:tcBorders>
              <w:top w:val="single" w:sz="4" w:space="0" w:color="auto"/>
              <w:left w:val="single" w:sz="4" w:space="0" w:color="auto"/>
              <w:bottom w:val="single" w:sz="4" w:space="0" w:color="auto"/>
              <w:right w:val="single" w:sz="4" w:space="0" w:color="auto"/>
            </w:tcBorders>
            <w:hideMark/>
          </w:tcPr>
          <w:p w14:paraId="7F85E389" w14:textId="77777777" w:rsidR="00C06EF8" w:rsidRDefault="00C06EF8" w:rsidP="00C06EF8">
            <w:pPr>
              <w:pStyle w:val="ListParagraph"/>
              <w:numPr>
                <w:ilvl w:val="0"/>
                <w:numId w:val="13"/>
              </w:numPr>
              <w:spacing w:after="0" w:line="256" w:lineRule="auto"/>
              <w:ind w:left="126" w:hanging="126"/>
              <w:jc w:val="left"/>
              <w:rPr>
                <w:sz w:val="22"/>
              </w:rPr>
            </w:pPr>
            <w:r>
              <w:rPr>
                <w:sz w:val="22"/>
              </w:rPr>
              <w:t>Becoming overdrawn</w:t>
            </w:r>
          </w:p>
          <w:p w14:paraId="4E76F23C" w14:textId="77777777" w:rsidR="00C06EF8" w:rsidRDefault="00C06EF8" w:rsidP="00C06EF8">
            <w:pPr>
              <w:pStyle w:val="ListParagraph"/>
              <w:numPr>
                <w:ilvl w:val="0"/>
                <w:numId w:val="13"/>
              </w:numPr>
              <w:spacing w:after="0" w:line="256" w:lineRule="auto"/>
              <w:ind w:left="126" w:hanging="126"/>
              <w:jc w:val="left"/>
              <w:rPr>
                <w:sz w:val="22"/>
              </w:rPr>
            </w:pPr>
            <w:r>
              <w:rPr>
                <w:sz w:val="22"/>
              </w:rPr>
              <w:t>Lack of liquidity to fund payments</w:t>
            </w:r>
          </w:p>
        </w:tc>
        <w:tc>
          <w:tcPr>
            <w:tcW w:w="2843" w:type="dxa"/>
            <w:tcBorders>
              <w:top w:val="single" w:sz="4" w:space="0" w:color="auto"/>
              <w:left w:val="single" w:sz="4" w:space="0" w:color="auto"/>
              <w:bottom w:val="single" w:sz="4" w:space="0" w:color="auto"/>
              <w:right w:val="single" w:sz="4" w:space="0" w:color="auto"/>
            </w:tcBorders>
            <w:hideMark/>
          </w:tcPr>
          <w:p w14:paraId="4437BE30" w14:textId="77777777" w:rsidR="00C06EF8" w:rsidRDefault="00C06EF8" w:rsidP="006E63C8">
            <w:pPr>
              <w:pStyle w:val="ListParagraph"/>
              <w:numPr>
                <w:ilvl w:val="0"/>
                <w:numId w:val="14"/>
              </w:numPr>
              <w:spacing w:after="0" w:line="256" w:lineRule="auto"/>
              <w:ind w:left="110" w:hanging="110"/>
              <w:jc w:val="left"/>
              <w:rPr>
                <w:sz w:val="22"/>
              </w:rPr>
            </w:pPr>
            <w:r>
              <w:rPr>
                <w:sz w:val="22"/>
              </w:rPr>
              <w:t>Stringent cash management and forecasting</w:t>
            </w:r>
          </w:p>
        </w:tc>
      </w:tr>
      <w:tr w:rsidR="00C06EF8" w14:paraId="0E79A91D" w14:textId="77777777" w:rsidTr="00F11224">
        <w:tc>
          <w:tcPr>
            <w:tcW w:w="3039" w:type="dxa"/>
            <w:tcBorders>
              <w:top w:val="single" w:sz="4" w:space="0" w:color="auto"/>
              <w:left w:val="single" w:sz="4" w:space="0" w:color="auto"/>
              <w:bottom w:val="single" w:sz="4" w:space="0" w:color="auto"/>
              <w:right w:val="single" w:sz="4" w:space="0" w:color="auto"/>
            </w:tcBorders>
            <w:hideMark/>
          </w:tcPr>
          <w:p w14:paraId="6686E5E2" w14:textId="77777777" w:rsidR="00C06EF8" w:rsidRDefault="00C06EF8" w:rsidP="00472540">
            <w:pPr>
              <w:spacing w:line="256" w:lineRule="auto"/>
              <w:ind w:left="28"/>
              <w:jc w:val="left"/>
              <w:rPr>
                <w:sz w:val="22"/>
              </w:rPr>
            </w:pPr>
            <w:r>
              <w:rPr>
                <w:sz w:val="22"/>
              </w:rPr>
              <w:t>County Council officers, with access to Pensions systems, can action fraudulent or erroneous cash movements.</w:t>
            </w:r>
          </w:p>
        </w:tc>
        <w:tc>
          <w:tcPr>
            <w:tcW w:w="2765" w:type="dxa"/>
            <w:tcBorders>
              <w:top w:val="single" w:sz="4" w:space="0" w:color="auto"/>
              <w:left w:val="single" w:sz="4" w:space="0" w:color="auto"/>
              <w:bottom w:val="single" w:sz="4" w:space="0" w:color="auto"/>
              <w:right w:val="single" w:sz="4" w:space="0" w:color="auto"/>
            </w:tcBorders>
            <w:hideMark/>
          </w:tcPr>
          <w:p w14:paraId="602DF274" w14:textId="77777777" w:rsidR="00C06EF8" w:rsidRDefault="00C06EF8" w:rsidP="00C06EF8">
            <w:pPr>
              <w:pStyle w:val="ListParagraph"/>
              <w:numPr>
                <w:ilvl w:val="0"/>
                <w:numId w:val="13"/>
              </w:numPr>
              <w:spacing w:after="0" w:line="256" w:lineRule="auto"/>
              <w:ind w:left="126" w:hanging="126"/>
              <w:jc w:val="left"/>
              <w:rPr>
                <w:sz w:val="22"/>
              </w:rPr>
            </w:pPr>
            <w:r>
              <w:rPr>
                <w:sz w:val="22"/>
              </w:rPr>
              <w:t>Becoming overdrawn</w:t>
            </w:r>
          </w:p>
          <w:p w14:paraId="5DBB46CC" w14:textId="77777777" w:rsidR="00C06EF8" w:rsidRDefault="00C06EF8" w:rsidP="00C06EF8">
            <w:pPr>
              <w:pStyle w:val="ListParagraph"/>
              <w:numPr>
                <w:ilvl w:val="0"/>
                <w:numId w:val="13"/>
              </w:numPr>
              <w:spacing w:after="0" w:line="256" w:lineRule="auto"/>
              <w:ind w:left="126" w:hanging="126"/>
              <w:jc w:val="left"/>
              <w:rPr>
                <w:sz w:val="22"/>
              </w:rPr>
            </w:pPr>
            <w:r>
              <w:rPr>
                <w:sz w:val="22"/>
              </w:rPr>
              <w:t>Payments made to/from wrong bank account</w:t>
            </w:r>
          </w:p>
          <w:p w14:paraId="7497E735" w14:textId="77777777" w:rsidR="00C06EF8" w:rsidRDefault="00C06EF8" w:rsidP="00C06EF8">
            <w:pPr>
              <w:pStyle w:val="ListParagraph"/>
              <w:numPr>
                <w:ilvl w:val="0"/>
                <w:numId w:val="13"/>
              </w:numPr>
              <w:spacing w:after="0" w:line="256" w:lineRule="auto"/>
              <w:ind w:left="126" w:hanging="126"/>
              <w:jc w:val="left"/>
              <w:rPr>
                <w:sz w:val="22"/>
              </w:rPr>
            </w:pPr>
            <w:r>
              <w:rPr>
                <w:sz w:val="22"/>
              </w:rPr>
              <w:t>Fraudulent activities</w:t>
            </w:r>
          </w:p>
        </w:tc>
        <w:tc>
          <w:tcPr>
            <w:tcW w:w="2843" w:type="dxa"/>
            <w:tcBorders>
              <w:top w:val="single" w:sz="4" w:space="0" w:color="auto"/>
              <w:left w:val="single" w:sz="4" w:space="0" w:color="auto"/>
              <w:bottom w:val="single" w:sz="4" w:space="0" w:color="auto"/>
              <w:right w:val="single" w:sz="4" w:space="0" w:color="auto"/>
            </w:tcBorders>
            <w:hideMark/>
          </w:tcPr>
          <w:p w14:paraId="028DDA10" w14:textId="77777777" w:rsidR="00C06EF8" w:rsidRDefault="00C06EF8" w:rsidP="006E63C8">
            <w:pPr>
              <w:pStyle w:val="ListParagraph"/>
              <w:numPr>
                <w:ilvl w:val="0"/>
                <w:numId w:val="13"/>
              </w:numPr>
              <w:spacing w:after="0" w:line="256" w:lineRule="auto"/>
              <w:ind w:left="110" w:hanging="110"/>
              <w:jc w:val="left"/>
              <w:rPr>
                <w:sz w:val="22"/>
              </w:rPr>
            </w:pPr>
            <w:r>
              <w:rPr>
                <w:sz w:val="22"/>
              </w:rPr>
              <w:t>Segregation of duties</w:t>
            </w:r>
          </w:p>
          <w:p w14:paraId="16F34A64" w14:textId="77777777" w:rsidR="00C06EF8" w:rsidRDefault="00C06EF8" w:rsidP="006E63C8">
            <w:pPr>
              <w:pStyle w:val="ListParagraph"/>
              <w:numPr>
                <w:ilvl w:val="0"/>
                <w:numId w:val="16"/>
              </w:numPr>
              <w:spacing w:after="0" w:line="256" w:lineRule="auto"/>
              <w:ind w:left="110" w:hanging="110"/>
              <w:jc w:val="left"/>
              <w:rPr>
                <w:sz w:val="22"/>
              </w:rPr>
            </w:pPr>
            <w:r>
              <w:rPr>
                <w:sz w:val="22"/>
              </w:rPr>
              <w:t>Approval from Pension Senior Management required for cash movements</w:t>
            </w:r>
          </w:p>
        </w:tc>
      </w:tr>
      <w:tr w:rsidR="00C06EF8" w14:paraId="23311468" w14:textId="77777777" w:rsidTr="00F11224">
        <w:trPr>
          <w:trHeight w:val="578"/>
        </w:trPr>
        <w:tc>
          <w:tcPr>
            <w:tcW w:w="3039" w:type="dxa"/>
            <w:tcBorders>
              <w:top w:val="single" w:sz="4" w:space="0" w:color="auto"/>
              <w:left w:val="single" w:sz="4" w:space="0" w:color="auto"/>
              <w:bottom w:val="single" w:sz="4" w:space="0" w:color="auto"/>
              <w:right w:val="single" w:sz="4" w:space="0" w:color="auto"/>
            </w:tcBorders>
            <w:hideMark/>
          </w:tcPr>
          <w:p w14:paraId="6C596C4A" w14:textId="77777777" w:rsidR="00C06EF8" w:rsidRPr="007D020F" w:rsidRDefault="00C06EF8" w:rsidP="00472540">
            <w:pPr>
              <w:spacing w:line="256" w:lineRule="auto"/>
              <w:ind w:left="28"/>
              <w:jc w:val="left"/>
              <w:rPr>
                <w:sz w:val="22"/>
              </w:rPr>
            </w:pPr>
            <w:r w:rsidRPr="004E6C41">
              <w:rPr>
                <w:sz w:val="22"/>
              </w:rPr>
              <w:t>Surplus cash is not invested in line with the Investment Strategy Statement on a timely basis.</w:t>
            </w:r>
          </w:p>
        </w:tc>
        <w:tc>
          <w:tcPr>
            <w:tcW w:w="2765" w:type="dxa"/>
            <w:tcBorders>
              <w:top w:val="single" w:sz="4" w:space="0" w:color="auto"/>
              <w:left w:val="single" w:sz="4" w:space="0" w:color="auto"/>
              <w:bottom w:val="single" w:sz="4" w:space="0" w:color="auto"/>
              <w:right w:val="single" w:sz="4" w:space="0" w:color="auto"/>
            </w:tcBorders>
          </w:tcPr>
          <w:p w14:paraId="3D9C39E9" w14:textId="77777777" w:rsidR="00C06EF8" w:rsidRPr="004E6C41" w:rsidRDefault="00C06EF8" w:rsidP="00C06EF8">
            <w:pPr>
              <w:pStyle w:val="ListParagraph"/>
              <w:numPr>
                <w:ilvl w:val="0"/>
                <w:numId w:val="13"/>
              </w:numPr>
              <w:spacing w:after="0" w:line="256" w:lineRule="auto"/>
              <w:ind w:left="126" w:hanging="126"/>
              <w:jc w:val="left"/>
              <w:rPr>
                <w:sz w:val="22"/>
              </w:rPr>
            </w:pPr>
            <w:r w:rsidRPr="004E6C41">
              <w:rPr>
                <w:sz w:val="22"/>
              </w:rPr>
              <w:t>Loss of economic benefit to the Fund</w:t>
            </w:r>
          </w:p>
          <w:p w14:paraId="2D667032" w14:textId="77777777" w:rsidR="00C06EF8" w:rsidRPr="007D020F" w:rsidRDefault="00C06EF8" w:rsidP="00F11224">
            <w:pPr>
              <w:pStyle w:val="ListParagraph"/>
              <w:spacing w:line="256" w:lineRule="auto"/>
              <w:ind w:left="126"/>
              <w:rPr>
                <w:sz w:val="22"/>
              </w:rPr>
            </w:pPr>
          </w:p>
          <w:p w14:paraId="4DEAEBC1" w14:textId="77777777" w:rsidR="00C06EF8" w:rsidRPr="007D020F" w:rsidRDefault="00C06EF8" w:rsidP="00F11224">
            <w:pPr>
              <w:spacing w:line="256" w:lineRule="auto"/>
              <w:ind w:left="126" w:hanging="126"/>
              <w:rPr>
                <w:sz w:val="22"/>
              </w:rPr>
            </w:pPr>
          </w:p>
        </w:tc>
        <w:tc>
          <w:tcPr>
            <w:tcW w:w="2843" w:type="dxa"/>
            <w:tcBorders>
              <w:top w:val="single" w:sz="4" w:space="0" w:color="auto"/>
              <w:left w:val="single" w:sz="4" w:space="0" w:color="auto"/>
              <w:bottom w:val="single" w:sz="4" w:space="0" w:color="auto"/>
              <w:right w:val="single" w:sz="4" w:space="0" w:color="auto"/>
            </w:tcBorders>
          </w:tcPr>
          <w:p w14:paraId="486330CA" w14:textId="77777777" w:rsidR="00C06EF8" w:rsidRPr="004E6C41" w:rsidRDefault="00C06EF8" w:rsidP="006E63C8">
            <w:pPr>
              <w:pStyle w:val="ListParagraph"/>
              <w:numPr>
                <w:ilvl w:val="1"/>
                <w:numId w:val="2"/>
              </w:numPr>
              <w:spacing w:after="0" w:line="256" w:lineRule="auto"/>
              <w:ind w:left="100" w:hanging="100"/>
              <w:jc w:val="left"/>
              <w:rPr>
                <w:sz w:val="22"/>
              </w:rPr>
            </w:pPr>
            <w:r w:rsidRPr="007D020F">
              <w:rPr>
                <w:sz w:val="22"/>
              </w:rPr>
              <w:t>Stringent cash management</w:t>
            </w:r>
          </w:p>
          <w:p w14:paraId="2053A1E2" w14:textId="77777777" w:rsidR="00C06EF8" w:rsidRPr="007D020F" w:rsidRDefault="00C06EF8" w:rsidP="006E63C8">
            <w:pPr>
              <w:pStyle w:val="ListParagraph"/>
              <w:numPr>
                <w:ilvl w:val="1"/>
                <w:numId w:val="2"/>
              </w:numPr>
              <w:spacing w:after="0" w:line="256" w:lineRule="auto"/>
              <w:ind w:left="100" w:hanging="100"/>
              <w:jc w:val="left"/>
              <w:rPr>
                <w:sz w:val="22"/>
              </w:rPr>
            </w:pPr>
            <w:r w:rsidRPr="007D020F">
              <w:rPr>
                <w:sz w:val="22"/>
              </w:rPr>
              <w:t>Clear inter-team Communication</w:t>
            </w:r>
          </w:p>
          <w:p w14:paraId="43760F2D" w14:textId="77777777" w:rsidR="00C06EF8" w:rsidRPr="007D020F" w:rsidRDefault="00C06EF8" w:rsidP="00472540">
            <w:pPr>
              <w:jc w:val="left"/>
            </w:pPr>
          </w:p>
        </w:tc>
      </w:tr>
    </w:tbl>
    <w:p w14:paraId="2CE89234" w14:textId="77777777" w:rsidR="00C06EF8" w:rsidRDefault="00C06EF8" w:rsidP="00C06EF8"/>
    <w:p w14:paraId="247A99D2" w14:textId="77777777" w:rsidR="00C15C45" w:rsidRDefault="00C15C45" w:rsidP="00C15C45">
      <w:pPr>
        <w:pStyle w:val="ListParagraph"/>
        <w:numPr>
          <w:ilvl w:val="0"/>
          <w:numId w:val="1"/>
        </w:numPr>
        <w:spacing w:line="249" w:lineRule="auto"/>
        <w:ind w:hanging="720"/>
        <w:rPr>
          <w:b/>
          <w:bCs/>
          <w:szCs w:val="24"/>
        </w:rPr>
      </w:pPr>
      <w:r w:rsidRPr="00407DDC">
        <w:rPr>
          <w:b/>
          <w:bCs/>
          <w:szCs w:val="24"/>
        </w:rPr>
        <w:t>Effective date and reviews</w:t>
      </w:r>
    </w:p>
    <w:p w14:paraId="0E6BCF01" w14:textId="77777777" w:rsidR="00C15C45" w:rsidRDefault="00C15C45" w:rsidP="00C15C45">
      <w:pPr>
        <w:ind w:left="360" w:firstLine="0"/>
        <w:rPr>
          <w:b/>
          <w:bCs/>
          <w:szCs w:val="24"/>
        </w:rPr>
      </w:pPr>
    </w:p>
    <w:p w14:paraId="58F1184D" w14:textId="68ED4281" w:rsidR="00C15C45" w:rsidRPr="00407DDC" w:rsidRDefault="00C15C45" w:rsidP="00C15C45">
      <w:pPr>
        <w:pStyle w:val="ListParagraph"/>
        <w:numPr>
          <w:ilvl w:val="2"/>
          <w:numId w:val="2"/>
        </w:numPr>
        <w:spacing w:line="249" w:lineRule="auto"/>
        <w:ind w:left="709" w:hanging="709"/>
        <w:rPr>
          <w:b/>
          <w:bCs/>
          <w:szCs w:val="24"/>
        </w:rPr>
      </w:pPr>
      <w:r>
        <w:rPr>
          <w:szCs w:val="24"/>
        </w:rPr>
        <w:t>The policy was first approved by the Pension Fund Committee on 23 March 2019 and was effective from 24 March 2019. The policy has since been subject to the following reviews:</w:t>
      </w:r>
    </w:p>
    <w:p w14:paraId="343E31FE" w14:textId="77777777" w:rsidR="00C15C45" w:rsidRDefault="00C15C45" w:rsidP="00C15C45">
      <w:pPr>
        <w:rPr>
          <w:b/>
          <w:bCs/>
          <w:szCs w:val="24"/>
        </w:rPr>
      </w:pPr>
    </w:p>
    <w:tbl>
      <w:tblPr>
        <w:tblStyle w:val="TableGrid"/>
        <w:tblW w:w="8647" w:type="dxa"/>
        <w:tblInd w:w="704" w:type="dxa"/>
        <w:tblLook w:val="04A0" w:firstRow="1" w:lastRow="0" w:firstColumn="1" w:lastColumn="0" w:noHBand="0" w:noVBand="1"/>
      </w:tblPr>
      <w:tblGrid>
        <w:gridCol w:w="4731"/>
        <w:gridCol w:w="3916"/>
      </w:tblGrid>
      <w:tr w:rsidR="00C15C45" w14:paraId="5DCB02AE" w14:textId="77777777" w:rsidTr="00407DDC">
        <w:tc>
          <w:tcPr>
            <w:tcW w:w="4731" w:type="dxa"/>
          </w:tcPr>
          <w:p w14:paraId="5110A5F4" w14:textId="77777777" w:rsidR="00C15C45" w:rsidRDefault="00C15C45" w:rsidP="00407DDC">
            <w:pPr>
              <w:ind w:left="0" w:firstLine="0"/>
              <w:jc w:val="center"/>
              <w:rPr>
                <w:b/>
                <w:bCs/>
                <w:szCs w:val="24"/>
              </w:rPr>
            </w:pPr>
            <w:r>
              <w:rPr>
                <w:b/>
                <w:bCs/>
                <w:szCs w:val="24"/>
              </w:rPr>
              <w:t>Date of review</w:t>
            </w:r>
          </w:p>
        </w:tc>
        <w:tc>
          <w:tcPr>
            <w:tcW w:w="3916" w:type="dxa"/>
          </w:tcPr>
          <w:p w14:paraId="06BB62D4" w14:textId="77777777" w:rsidR="00C15C45" w:rsidRDefault="00C15C45" w:rsidP="00407DDC">
            <w:pPr>
              <w:ind w:left="0" w:firstLine="0"/>
              <w:jc w:val="center"/>
              <w:rPr>
                <w:b/>
                <w:bCs/>
                <w:szCs w:val="24"/>
              </w:rPr>
            </w:pPr>
            <w:r>
              <w:rPr>
                <w:b/>
                <w:bCs/>
                <w:szCs w:val="24"/>
              </w:rPr>
              <w:t>Policy effective date:</w:t>
            </w:r>
          </w:p>
        </w:tc>
      </w:tr>
      <w:tr w:rsidR="00C15C45" w14:paraId="3F8AED47" w14:textId="77777777" w:rsidTr="00407DDC">
        <w:tc>
          <w:tcPr>
            <w:tcW w:w="4731" w:type="dxa"/>
          </w:tcPr>
          <w:p w14:paraId="5032B8BB" w14:textId="3CAC774D" w:rsidR="00C15C45" w:rsidRPr="00407DDC" w:rsidRDefault="00C15C45" w:rsidP="00407DDC">
            <w:pPr>
              <w:ind w:left="0" w:firstLine="0"/>
              <w:jc w:val="center"/>
              <w:rPr>
                <w:szCs w:val="24"/>
              </w:rPr>
            </w:pPr>
            <w:r>
              <w:rPr>
                <w:szCs w:val="24"/>
              </w:rPr>
              <w:t>28</w:t>
            </w:r>
            <w:r w:rsidRPr="00407DDC">
              <w:rPr>
                <w:szCs w:val="24"/>
              </w:rPr>
              <w:t xml:space="preserve"> June 2023</w:t>
            </w:r>
          </w:p>
        </w:tc>
        <w:tc>
          <w:tcPr>
            <w:tcW w:w="3916" w:type="dxa"/>
          </w:tcPr>
          <w:p w14:paraId="44E5D0E0" w14:textId="0C2E3E20" w:rsidR="00C15C45" w:rsidRPr="00407DDC" w:rsidRDefault="00C15C45" w:rsidP="00407DDC">
            <w:pPr>
              <w:ind w:left="0" w:firstLine="0"/>
              <w:jc w:val="center"/>
              <w:rPr>
                <w:szCs w:val="24"/>
              </w:rPr>
            </w:pPr>
            <w:r>
              <w:rPr>
                <w:szCs w:val="24"/>
              </w:rPr>
              <w:t>2</w:t>
            </w:r>
            <w:r w:rsidRPr="00407DDC">
              <w:rPr>
                <w:szCs w:val="24"/>
              </w:rPr>
              <w:t>9 June 2023</w:t>
            </w:r>
          </w:p>
        </w:tc>
      </w:tr>
    </w:tbl>
    <w:p w14:paraId="713DA61C" w14:textId="07EC7E90" w:rsidR="00C06EF8" w:rsidRDefault="00C06EF8" w:rsidP="00C06EF8">
      <w:pPr>
        <w:ind w:hanging="862"/>
      </w:pPr>
    </w:p>
    <w:p w14:paraId="651A7C7A" w14:textId="77777777" w:rsidR="00C06EF8" w:rsidRDefault="00C06EF8" w:rsidP="00C06EF8">
      <w:pPr>
        <w:rPr>
          <w:rFonts w:ascii="Times New Roman" w:hAnsi="Times New Roman"/>
        </w:rPr>
      </w:pPr>
    </w:p>
    <w:p w14:paraId="44263B59" w14:textId="77777777" w:rsidR="00C06EF8" w:rsidRDefault="00C06EF8" w:rsidP="00A035D7">
      <w:pPr>
        <w:pStyle w:val="ListParagraph"/>
        <w:numPr>
          <w:ilvl w:val="0"/>
          <w:numId w:val="1"/>
        </w:numPr>
        <w:spacing w:after="120"/>
        <w:ind w:left="709" w:hanging="709"/>
        <w:contextualSpacing w:val="0"/>
        <w:rPr>
          <w:b/>
        </w:rPr>
      </w:pPr>
      <w:r>
        <w:rPr>
          <w:b/>
        </w:rPr>
        <w:t>Glossary</w:t>
      </w:r>
    </w:p>
    <w:p w14:paraId="09BF95CF" w14:textId="77777777" w:rsidR="00C06EF8" w:rsidRDefault="00C06EF8" w:rsidP="00C06EF8">
      <w:pPr>
        <w:spacing w:after="120"/>
        <w:ind w:left="709"/>
      </w:pPr>
      <w:r>
        <w:t>Custodian – An external body responsible for ensuring the investing Fund’s assets are registered in the name of the Fund, managing the settlement of trades, collecting income arising and reporting transactions and values to the Fund on a regular basis.</w:t>
      </w:r>
    </w:p>
    <w:p w14:paraId="15E2DCD3" w14:textId="77777777" w:rsidR="00C06EF8" w:rsidRDefault="00C06EF8" w:rsidP="00C06EF8">
      <w:pPr>
        <w:spacing w:after="120"/>
        <w:ind w:left="709"/>
      </w:pPr>
      <w:r>
        <w:t>Deficit – An outcome where expenses exceed income.</w:t>
      </w:r>
    </w:p>
    <w:p w14:paraId="3B3E4E17" w14:textId="77777777" w:rsidR="00C06EF8" w:rsidRDefault="00C06EF8" w:rsidP="00C06EF8">
      <w:pPr>
        <w:spacing w:after="120"/>
        <w:ind w:left="709"/>
      </w:pPr>
      <w:r>
        <w:t>Investment Manager – An external organisation that makes investments in assets on behalf of clients.</w:t>
      </w:r>
    </w:p>
    <w:p w14:paraId="60468E1D" w14:textId="77777777" w:rsidR="00C06EF8" w:rsidRDefault="00C06EF8" w:rsidP="00C06EF8">
      <w:pPr>
        <w:spacing w:after="120"/>
        <w:ind w:left="709"/>
      </w:pPr>
      <w:r>
        <w:t xml:space="preserve">Money Market – A mutual fund that invests in cash and cash equivalent securities. </w:t>
      </w:r>
    </w:p>
    <w:p w14:paraId="0DC6CC80" w14:textId="77777777" w:rsidR="00C06EF8" w:rsidRDefault="00C06EF8" w:rsidP="00C06EF8">
      <w:pPr>
        <w:spacing w:after="120"/>
        <w:ind w:left="709"/>
      </w:pPr>
      <w:r>
        <w:t>Surplus – An outcome where income exceeds expenditure.</w:t>
      </w:r>
    </w:p>
    <w:p w14:paraId="042A2B13" w14:textId="77777777" w:rsidR="00002938" w:rsidRDefault="00002938"/>
    <w:sectPr w:rsidR="00002938" w:rsidSect="00FB38D4">
      <w:headerReference w:type="default" r:id="rId14"/>
      <w:footerReference w:type="default" r:id="rId15"/>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25C53" w14:textId="77777777" w:rsidR="00692644" w:rsidRDefault="00692644" w:rsidP="008F429C">
      <w:pPr>
        <w:spacing w:after="0" w:line="240" w:lineRule="auto"/>
      </w:pPr>
      <w:r>
        <w:separator/>
      </w:r>
    </w:p>
  </w:endnote>
  <w:endnote w:type="continuationSeparator" w:id="0">
    <w:p w14:paraId="38CEBDE7" w14:textId="77777777" w:rsidR="00692644" w:rsidRDefault="00692644" w:rsidP="008F4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02B9" w14:textId="41E87B5C" w:rsidR="008F429C" w:rsidRDefault="008F429C" w:rsidP="008F429C">
    <w:pPr>
      <w:pStyle w:val="Footer"/>
      <w:ind w:left="0"/>
    </w:pPr>
    <w:r>
      <w:rPr>
        <w:noProof/>
      </w:rPr>
      <w:drawing>
        <wp:inline distT="0" distB="0" distL="0" distR="0" wp14:anchorId="0ED13E42" wp14:editId="33DDF7BE">
          <wp:extent cx="2136295" cy="813600"/>
          <wp:effectExtent l="0" t="0" r="0" b="5715"/>
          <wp:docPr id="4033" name="Picture 4033" descr="West Northampto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3" name="Picture 4033" descr="West Northamptonshire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136295" cy="813600"/>
                  </a:xfrm>
                  <a:prstGeom prst="rect">
                    <a:avLst/>
                  </a:prstGeom>
                </pic:spPr>
              </pic:pic>
            </a:graphicData>
          </a:graphic>
        </wp:inline>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342B" w14:textId="35F01419" w:rsidR="008F429C" w:rsidRDefault="008F429C" w:rsidP="008F429C">
    <w:pPr>
      <w:pStyle w:val="Footer"/>
      <w:ind w:left="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1AF25" w14:textId="77777777" w:rsidR="00692644" w:rsidRDefault="00692644" w:rsidP="008F429C">
      <w:pPr>
        <w:spacing w:after="0" w:line="240" w:lineRule="auto"/>
      </w:pPr>
      <w:r>
        <w:separator/>
      </w:r>
    </w:p>
  </w:footnote>
  <w:footnote w:type="continuationSeparator" w:id="0">
    <w:p w14:paraId="2F6444F5" w14:textId="77777777" w:rsidR="00692644" w:rsidRDefault="00692644" w:rsidP="008F4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5BAE" w14:textId="1F91E9EF" w:rsidR="008F429C" w:rsidRDefault="008F429C" w:rsidP="008F429C">
    <w:pPr>
      <w:pStyle w:val="Header"/>
      <w:jc w:val="right"/>
    </w:pPr>
    <w:r>
      <w:rPr>
        <w:noProof/>
      </w:rPr>
      <w:drawing>
        <wp:inline distT="0" distB="0" distL="0" distR="0" wp14:anchorId="3BC82986" wp14:editId="33617518">
          <wp:extent cx="2006011" cy="676800"/>
          <wp:effectExtent l="0" t="0" r="0" b="0"/>
          <wp:docPr id="4032" name="Picture 4032" descr="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 name="Picture 4032" descr="Northampton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2006011" cy="676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3297" w14:textId="77777777" w:rsidR="008F429C" w:rsidRDefault="008F4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D4243"/>
    <w:multiLevelType w:val="hybridMultilevel"/>
    <w:tmpl w:val="7EF4E45E"/>
    <w:lvl w:ilvl="0" w:tplc="CAE08422">
      <w:start w:val="1"/>
      <w:numFmt w:val="decimal"/>
      <w:lvlText w:val="5.%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1" w15:restartNumberingAfterBreak="0">
    <w:nsid w:val="1ACE7B57"/>
    <w:multiLevelType w:val="hybridMultilevel"/>
    <w:tmpl w:val="033EAB5E"/>
    <w:lvl w:ilvl="0" w:tplc="989C121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B6053A"/>
    <w:multiLevelType w:val="hybridMultilevel"/>
    <w:tmpl w:val="63AE966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3" w15:restartNumberingAfterBreak="0">
    <w:nsid w:val="248C47FD"/>
    <w:multiLevelType w:val="hybridMultilevel"/>
    <w:tmpl w:val="1330869C"/>
    <w:lvl w:ilvl="0" w:tplc="989C121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5C2424A"/>
    <w:multiLevelType w:val="hybridMultilevel"/>
    <w:tmpl w:val="2B90A668"/>
    <w:lvl w:ilvl="0" w:tplc="4ABA2148">
      <w:start w:val="1"/>
      <w:numFmt w:val="decimal"/>
      <w:lvlText w:val="6.2.%1."/>
      <w:lvlJc w:val="left"/>
      <w:pPr>
        <w:ind w:left="1287" w:hanging="360"/>
      </w:pPr>
      <w:rPr>
        <w:rFonts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5" w15:restartNumberingAfterBreak="0">
    <w:nsid w:val="26AE1529"/>
    <w:multiLevelType w:val="hybridMultilevel"/>
    <w:tmpl w:val="F9049242"/>
    <w:lvl w:ilvl="0" w:tplc="54664C20">
      <w:start w:val="1"/>
      <w:numFmt w:val="decimal"/>
      <w:lvlText w:val="3.1.%1."/>
      <w:lvlJc w:val="left"/>
      <w:pPr>
        <w:ind w:left="2913" w:hanging="360"/>
      </w:pPr>
      <w:rPr>
        <w:rFonts w:hint="default"/>
      </w:rPr>
    </w:lvl>
    <w:lvl w:ilvl="1" w:tplc="08090003">
      <w:start w:val="1"/>
      <w:numFmt w:val="bullet"/>
      <w:lvlText w:val="o"/>
      <w:lvlJc w:val="left"/>
      <w:pPr>
        <w:ind w:left="3633" w:hanging="360"/>
      </w:pPr>
      <w:rPr>
        <w:rFonts w:ascii="Courier New" w:hAnsi="Courier New" w:cs="Courier New" w:hint="default"/>
      </w:rPr>
    </w:lvl>
    <w:lvl w:ilvl="2" w:tplc="08090005">
      <w:start w:val="1"/>
      <w:numFmt w:val="bullet"/>
      <w:lvlText w:val=""/>
      <w:lvlJc w:val="left"/>
      <w:pPr>
        <w:ind w:left="4353" w:hanging="360"/>
      </w:pPr>
      <w:rPr>
        <w:rFonts w:ascii="Wingdings" w:hAnsi="Wingdings" w:hint="default"/>
      </w:rPr>
    </w:lvl>
    <w:lvl w:ilvl="3" w:tplc="08090001">
      <w:start w:val="1"/>
      <w:numFmt w:val="bullet"/>
      <w:lvlText w:val=""/>
      <w:lvlJc w:val="left"/>
      <w:pPr>
        <w:ind w:left="5073" w:hanging="360"/>
      </w:pPr>
      <w:rPr>
        <w:rFonts w:ascii="Symbol" w:hAnsi="Symbol" w:hint="default"/>
      </w:rPr>
    </w:lvl>
    <w:lvl w:ilvl="4" w:tplc="08090003">
      <w:start w:val="1"/>
      <w:numFmt w:val="bullet"/>
      <w:lvlText w:val="o"/>
      <w:lvlJc w:val="left"/>
      <w:pPr>
        <w:ind w:left="5793" w:hanging="360"/>
      </w:pPr>
      <w:rPr>
        <w:rFonts w:ascii="Courier New" w:hAnsi="Courier New" w:cs="Courier New" w:hint="default"/>
      </w:rPr>
    </w:lvl>
    <w:lvl w:ilvl="5" w:tplc="08090005">
      <w:start w:val="1"/>
      <w:numFmt w:val="bullet"/>
      <w:lvlText w:val=""/>
      <w:lvlJc w:val="left"/>
      <w:pPr>
        <w:ind w:left="6513" w:hanging="360"/>
      </w:pPr>
      <w:rPr>
        <w:rFonts w:ascii="Wingdings" w:hAnsi="Wingdings" w:hint="default"/>
      </w:rPr>
    </w:lvl>
    <w:lvl w:ilvl="6" w:tplc="08090001">
      <w:start w:val="1"/>
      <w:numFmt w:val="bullet"/>
      <w:lvlText w:val=""/>
      <w:lvlJc w:val="left"/>
      <w:pPr>
        <w:ind w:left="7233" w:hanging="360"/>
      </w:pPr>
      <w:rPr>
        <w:rFonts w:ascii="Symbol" w:hAnsi="Symbol" w:hint="default"/>
      </w:rPr>
    </w:lvl>
    <w:lvl w:ilvl="7" w:tplc="08090003">
      <w:start w:val="1"/>
      <w:numFmt w:val="bullet"/>
      <w:lvlText w:val="o"/>
      <w:lvlJc w:val="left"/>
      <w:pPr>
        <w:ind w:left="7953" w:hanging="360"/>
      </w:pPr>
      <w:rPr>
        <w:rFonts w:ascii="Courier New" w:hAnsi="Courier New" w:cs="Courier New" w:hint="default"/>
      </w:rPr>
    </w:lvl>
    <w:lvl w:ilvl="8" w:tplc="08090005">
      <w:start w:val="1"/>
      <w:numFmt w:val="bullet"/>
      <w:lvlText w:val=""/>
      <w:lvlJc w:val="left"/>
      <w:pPr>
        <w:ind w:left="8673" w:hanging="360"/>
      </w:pPr>
      <w:rPr>
        <w:rFonts w:ascii="Wingdings" w:hAnsi="Wingdings" w:hint="default"/>
      </w:rPr>
    </w:lvl>
  </w:abstractNum>
  <w:abstractNum w:abstractNumId="6" w15:restartNumberingAfterBreak="0">
    <w:nsid w:val="289C2C41"/>
    <w:multiLevelType w:val="hybridMultilevel"/>
    <w:tmpl w:val="EA461D0E"/>
    <w:lvl w:ilvl="0" w:tplc="F63CEE94">
      <w:start w:val="1"/>
      <w:numFmt w:val="decimal"/>
      <w:lvlText w:val="6.%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7" w15:restartNumberingAfterBreak="0">
    <w:nsid w:val="29543B44"/>
    <w:multiLevelType w:val="hybridMultilevel"/>
    <w:tmpl w:val="BEA0A8AE"/>
    <w:lvl w:ilvl="0" w:tplc="635C5DB2">
      <w:start w:val="1"/>
      <w:numFmt w:val="decimal"/>
      <w:lvlText w:val="1.%1."/>
      <w:lvlJc w:val="left"/>
      <w:pPr>
        <w:ind w:left="1070" w:hanging="360"/>
      </w:pPr>
    </w:lvl>
    <w:lvl w:ilvl="1" w:tplc="8C6697A4">
      <w:numFmt w:val="bullet"/>
      <w:lvlText w:val="-"/>
      <w:lvlJc w:val="left"/>
      <w:pPr>
        <w:ind w:left="1790" w:hanging="360"/>
      </w:pPr>
      <w:rPr>
        <w:rFonts w:ascii="Arial" w:eastAsia="Arial" w:hAnsi="Arial" w:cs="Arial" w:hint="default"/>
      </w:rPr>
    </w:lvl>
    <w:lvl w:ilvl="2" w:tplc="1FC08E36">
      <w:start w:val="1"/>
      <w:numFmt w:val="decimal"/>
      <w:lvlText w:val="1.1.%3."/>
      <w:lvlJc w:val="left"/>
      <w:pPr>
        <w:ind w:left="2510" w:hanging="180"/>
      </w:pPr>
      <w:rPr>
        <w:rFonts w:hint="default"/>
      </w:r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8" w15:restartNumberingAfterBreak="0">
    <w:nsid w:val="2AB35516"/>
    <w:multiLevelType w:val="hybridMultilevel"/>
    <w:tmpl w:val="D48C9452"/>
    <w:lvl w:ilvl="0" w:tplc="989C121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FC311AD"/>
    <w:multiLevelType w:val="hybridMultilevel"/>
    <w:tmpl w:val="F396641E"/>
    <w:lvl w:ilvl="0" w:tplc="AE94093E">
      <w:start w:val="1"/>
      <w:numFmt w:val="decimal"/>
      <w:lvlText w:val="2.1.%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4EF65B5"/>
    <w:multiLevelType w:val="hybridMultilevel"/>
    <w:tmpl w:val="59FEF8B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1" w15:restartNumberingAfterBreak="0">
    <w:nsid w:val="354251CD"/>
    <w:multiLevelType w:val="hybridMultilevel"/>
    <w:tmpl w:val="B610FE4C"/>
    <w:lvl w:ilvl="0" w:tplc="989C121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F1D7FB4"/>
    <w:multiLevelType w:val="hybridMultilevel"/>
    <w:tmpl w:val="D7881524"/>
    <w:lvl w:ilvl="0" w:tplc="635C5DB2">
      <w:start w:val="1"/>
      <w:numFmt w:val="decimal"/>
      <w:lvlText w:val="1.%1."/>
      <w:lvlJc w:val="left"/>
      <w:pPr>
        <w:ind w:left="720" w:hanging="360"/>
      </w:pPr>
    </w:lvl>
    <w:lvl w:ilvl="1" w:tplc="8C6697A4">
      <w:numFmt w:val="bullet"/>
      <w:lvlText w:val="-"/>
      <w:lvlJc w:val="left"/>
      <w:pPr>
        <w:ind w:left="1440" w:hanging="360"/>
      </w:pPr>
      <w:rPr>
        <w:rFonts w:ascii="Arial" w:eastAsia="Arial" w:hAnsi="Arial" w:cs="Arial" w:hint="default"/>
      </w:rPr>
    </w:lvl>
    <w:lvl w:ilvl="2" w:tplc="53788A6E">
      <w:start w:val="1"/>
      <w:numFmt w:val="decimal"/>
      <w:lvlText w:val="9.%3."/>
      <w:lvlJc w:val="left"/>
      <w:pPr>
        <w:ind w:left="2160" w:hanging="180"/>
      </w:pPr>
      <w:rPr>
        <w:rFonts w:hint="default"/>
        <w:b w:val="0"/>
        <w:bCs w:val="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2EE58C3"/>
    <w:multiLevelType w:val="hybridMultilevel"/>
    <w:tmpl w:val="150AA07C"/>
    <w:lvl w:ilvl="0" w:tplc="736C7E16">
      <w:start w:val="1"/>
      <w:numFmt w:val="decimal"/>
      <w:lvlText w:val="2.%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8D2637F"/>
    <w:multiLevelType w:val="hybridMultilevel"/>
    <w:tmpl w:val="B7782422"/>
    <w:lvl w:ilvl="0" w:tplc="CA8E5C6A">
      <w:start w:val="1"/>
      <w:numFmt w:val="decimal"/>
      <w:lvlText w:val="7.%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4AFB4C2B"/>
    <w:multiLevelType w:val="hybridMultilevel"/>
    <w:tmpl w:val="AC58546C"/>
    <w:lvl w:ilvl="0" w:tplc="FF40D1BC">
      <w:start w:val="1"/>
      <w:numFmt w:val="decimal"/>
      <w:lvlText w:val="4.1.%1."/>
      <w:lvlJc w:val="left"/>
      <w:pPr>
        <w:ind w:left="1287" w:hanging="360"/>
      </w:pPr>
      <w:rPr>
        <w:rFonts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6" w15:restartNumberingAfterBreak="0">
    <w:nsid w:val="4D143BB1"/>
    <w:multiLevelType w:val="hybridMultilevel"/>
    <w:tmpl w:val="72B2A382"/>
    <w:lvl w:ilvl="0" w:tplc="5332092E">
      <w:start w:val="1"/>
      <w:numFmt w:val="decimal"/>
      <w:lvlText w:val="4.%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4A76207"/>
    <w:multiLevelType w:val="hybridMultilevel"/>
    <w:tmpl w:val="EDD2499A"/>
    <w:lvl w:ilvl="0" w:tplc="635C5DB2">
      <w:start w:val="1"/>
      <w:numFmt w:val="decimal"/>
      <w:lvlText w:val="1.%1."/>
      <w:lvlJc w:val="left"/>
      <w:pPr>
        <w:ind w:left="720" w:hanging="360"/>
      </w:pPr>
    </w:lvl>
    <w:lvl w:ilvl="1" w:tplc="989C1218">
      <w:numFmt w:val="bullet"/>
      <w:lvlText w:val="-"/>
      <w:lvlJc w:val="left"/>
      <w:pPr>
        <w:ind w:left="1440" w:hanging="360"/>
      </w:pPr>
      <w:rPr>
        <w:rFonts w:ascii="Calibri" w:eastAsiaTheme="minorHAnsi" w:hAnsi="Calibri" w:cs="Calibri" w:hint="default"/>
      </w:rPr>
    </w:lvl>
    <w:lvl w:ilvl="2" w:tplc="635C5DB2">
      <w:start w:val="1"/>
      <w:numFmt w:val="decimal"/>
      <w:lvlText w:val="1.%3."/>
      <w:lvlJc w:val="lef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94C0627"/>
    <w:multiLevelType w:val="hybridMultilevel"/>
    <w:tmpl w:val="D9D2F382"/>
    <w:lvl w:ilvl="0" w:tplc="989C121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1A1297E"/>
    <w:multiLevelType w:val="hybridMultilevel"/>
    <w:tmpl w:val="0D6A20A2"/>
    <w:lvl w:ilvl="0" w:tplc="989C121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31B44D7"/>
    <w:multiLevelType w:val="hybridMultilevel"/>
    <w:tmpl w:val="3806D1A8"/>
    <w:lvl w:ilvl="0" w:tplc="39D4DBC2">
      <w:start w:val="1"/>
      <w:numFmt w:val="decimal"/>
      <w:lvlText w:val="3.%1."/>
      <w:lvlJc w:val="left"/>
      <w:pPr>
        <w:ind w:left="1288" w:hanging="360"/>
      </w:pPr>
    </w:lvl>
    <w:lvl w:ilvl="1" w:tplc="08090019">
      <w:start w:val="1"/>
      <w:numFmt w:val="lowerLetter"/>
      <w:lvlText w:val="%2."/>
      <w:lvlJc w:val="left"/>
      <w:pPr>
        <w:ind w:left="2008" w:hanging="360"/>
      </w:pPr>
    </w:lvl>
    <w:lvl w:ilvl="2" w:tplc="0809001B">
      <w:start w:val="1"/>
      <w:numFmt w:val="lowerRoman"/>
      <w:lvlText w:val="%3."/>
      <w:lvlJc w:val="right"/>
      <w:pPr>
        <w:ind w:left="2728" w:hanging="180"/>
      </w:pPr>
    </w:lvl>
    <w:lvl w:ilvl="3" w:tplc="0809000F">
      <w:start w:val="1"/>
      <w:numFmt w:val="decimal"/>
      <w:lvlText w:val="%4."/>
      <w:lvlJc w:val="left"/>
      <w:pPr>
        <w:ind w:left="3448" w:hanging="360"/>
      </w:pPr>
    </w:lvl>
    <w:lvl w:ilvl="4" w:tplc="08090019">
      <w:start w:val="1"/>
      <w:numFmt w:val="lowerLetter"/>
      <w:lvlText w:val="%5."/>
      <w:lvlJc w:val="left"/>
      <w:pPr>
        <w:ind w:left="4168" w:hanging="360"/>
      </w:pPr>
    </w:lvl>
    <w:lvl w:ilvl="5" w:tplc="0809001B">
      <w:start w:val="1"/>
      <w:numFmt w:val="lowerRoman"/>
      <w:lvlText w:val="%6."/>
      <w:lvlJc w:val="right"/>
      <w:pPr>
        <w:ind w:left="4888" w:hanging="180"/>
      </w:pPr>
    </w:lvl>
    <w:lvl w:ilvl="6" w:tplc="0809000F">
      <w:start w:val="1"/>
      <w:numFmt w:val="decimal"/>
      <w:lvlText w:val="%7."/>
      <w:lvlJc w:val="left"/>
      <w:pPr>
        <w:ind w:left="5608" w:hanging="360"/>
      </w:pPr>
    </w:lvl>
    <w:lvl w:ilvl="7" w:tplc="08090019">
      <w:start w:val="1"/>
      <w:numFmt w:val="lowerLetter"/>
      <w:lvlText w:val="%8."/>
      <w:lvlJc w:val="left"/>
      <w:pPr>
        <w:ind w:left="6328" w:hanging="360"/>
      </w:pPr>
    </w:lvl>
    <w:lvl w:ilvl="8" w:tplc="0809001B">
      <w:start w:val="1"/>
      <w:numFmt w:val="lowerRoman"/>
      <w:lvlText w:val="%9."/>
      <w:lvlJc w:val="right"/>
      <w:pPr>
        <w:ind w:left="7048" w:hanging="180"/>
      </w:pPr>
    </w:lvl>
  </w:abstractNum>
  <w:abstractNum w:abstractNumId="21" w15:restartNumberingAfterBreak="0">
    <w:nsid w:val="774974EB"/>
    <w:multiLevelType w:val="hybridMultilevel"/>
    <w:tmpl w:val="6B8075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7AF57D9"/>
    <w:multiLevelType w:val="hybridMultilevel"/>
    <w:tmpl w:val="BD420C20"/>
    <w:lvl w:ilvl="0" w:tplc="08090001">
      <w:start w:val="1"/>
      <w:numFmt w:val="bullet"/>
      <w:lvlText w:val=""/>
      <w:lvlJc w:val="left"/>
      <w:pPr>
        <w:ind w:left="2913" w:hanging="360"/>
      </w:pPr>
      <w:rPr>
        <w:rFonts w:ascii="Symbol" w:hAnsi="Symbol" w:hint="default"/>
      </w:rPr>
    </w:lvl>
    <w:lvl w:ilvl="1" w:tplc="08090003">
      <w:start w:val="1"/>
      <w:numFmt w:val="bullet"/>
      <w:lvlText w:val="o"/>
      <w:lvlJc w:val="left"/>
      <w:pPr>
        <w:ind w:left="3633" w:hanging="360"/>
      </w:pPr>
      <w:rPr>
        <w:rFonts w:ascii="Courier New" w:hAnsi="Courier New" w:cs="Courier New" w:hint="default"/>
      </w:rPr>
    </w:lvl>
    <w:lvl w:ilvl="2" w:tplc="08090005">
      <w:start w:val="1"/>
      <w:numFmt w:val="bullet"/>
      <w:lvlText w:val=""/>
      <w:lvlJc w:val="left"/>
      <w:pPr>
        <w:ind w:left="4353" w:hanging="360"/>
      </w:pPr>
      <w:rPr>
        <w:rFonts w:ascii="Wingdings" w:hAnsi="Wingdings" w:hint="default"/>
      </w:rPr>
    </w:lvl>
    <w:lvl w:ilvl="3" w:tplc="08090001">
      <w:start w:val="1"/>
      <w:numFmt w:val="bullet"/>
      <w:lvlText w:val=""/>
      <w:lvlJc w:val="left"/>
      <w:pPr>
        <w:ind w:left="5073" w:hanging="360"/>
      </w:pPr>
      <w:rPr>
        <w:rFonts w:ascii="Symbol" w:hAnsi="Symbol" w:hint="default"/>
      </w:rPr>
    </w:lvl>
    <w:lvl w:ilvl="4" w:tplc="08090003">
      <w:start w:val="1"/>
      <w:numFmt w:val="bullet"/>
      <w:lvlText w:val="o"/>
      <w:lvlJc w:val="left"/>
      <w:pPr>
        <w:ind w:left="5793" w:hanging="360"/>
      </w:pPr>
      <w:rPr>
        <w:rFonts w:ascii="Courier New" w:hAnsi="Courier New" w:cs="Courier New" w:hint="default"/>
      </w:rPr>
    </w:lvl>
    <w:lvl w:ilvl="5" w:tplc="08090005">
      <w:start w:val="1"/>
      <w:numFmt w:val="bullet"/>
      <w:lvlText w:val=""/>
      <w:lvlJc w:val="left"/>
      <w:pPr>
        <w:ind w:left="6513" w:hanging="360"/>
      </w:pPr>
      <w:rPr>
        <w:rFonts w:ascii="Wingdings" w:hAnsi="Wingdings" w:hint="default"/>
      </w:rPr>
    </w:lvl>
    <w:lvl w:ilvl="6" w:tplc="08090001">
      <w:start w:val="1"/>
      <w:numFmt w:val="bullet"/>
      <w:lvlText w:val=""/>
      <w:lvlJc w:val="left"/>
      <w:pPr>
        <w:ind w:left="7233" w:hanging="360"/>
      </w:pPr>
      <w:rPr>
        <w:rFonts w:ascii="Symbol" w:hAnsi="Symbol" w:hint="default"/>
      </w:rPr>
    </w:lvl>
    <w:lvl w:ilvl="7" w:tplc="08090003">
      <w:start w:val="1"/>
      <w:numFmt w:val="bullet"/>
      <w:lvlText w:val="o"/>
      <w:lvlJc w:val="left"/>
      <w:pPr>
        <w:ind w:left="7953" w:hanging="360"/>
      </w:pPr>
      <w:rPr>
        <w:rFonts w:ascii="Courier New" w:hAnsi="Courier New" w:cs="Courier New" w:hint="default"/>
      </w:rPr>
    </w:lvl>
    <w:lvl w:ilvl="8" w:tplc="08090005">
      <w:start w:val="1"/>
      <w:numFmt w:val="bullet"/>
      <w:lvlText w:val=""/>
      <w:lvlJc w:val="left"/>
      <w:pPr>
        <w:ind w:left="8673" w:hanging="360"/>
      </w:pPr>
      <w:rPr>
        <w:rFonts w:ascii="Wingdings" w:hAnsi="Wingdings" w:hint="default"/>
      </w:rPr>
    </w:lvl>
  </w:abstractNum>
  <w:num w:numId="1" w16cid:durableId="4619667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071239">
    <w:abstractNumId w:val="12"/>
  </w:num>
  <w:num w:numId="3" w16cid:durableId="10094798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5551043">
    <w:abstractNumId w:val="9"/>
  </w:num>
  <w:num w:numId="5" w16cid:durableId="18453923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6977498">
    <w:abstractNumId w:val="22"/>
  </w:num>
  <w:num w:numId="7" w16cid:durableId="19576344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7696218">
    <w:abstractNumId w:val="10"/>
  </w:num>
  <w:num w:numId="9" w16cid:durableId="1399863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5014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0227511">
    <w:abstractNumId w:val="2"/>
  </w:num>
  <w:num w:numId="12" w16cid:durableId="113784153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1869278">
    <w:abstractNumId w:val="18"/>
  </w:num>
  <w:num w:numId="14" w16cid:durableId="1558082667">
    <w:abstractNumId w:val="19"/>
  </w:num>
  <w:num w:numId="15" w16cid:durableId="1961449357">
    <w:abstractNumId w:val="8"/>
  </w:num>
  <w:num w:numId="16" w16cid:durableId="1844054746">
    <w:abstractNumId w:val="3"/>
  </w:num>
  <w:num w:numId="17" w16cid:durableId="1737241391">
    <w:abstractNumId w:val="1"/>
  </w:num>
  <w:num w:numId="18" w16cid:durableId="645747807">
    <w:abstractNumId w:val="11"/>
  </w:num>
  <w:num w:numId="19" w16cid:durableId="1561137807">
    <w:abstractNumId w:val="1"/>
  </w:num>
  <w:num w:numId="20" w16cid:durableId="802313001">
    <w:abstractNumId w:val="0"/>
  </w:num>
  <w:num w:numId="21" w16cid:durableId="1207184676">
    <w:abstractNumId w:val="14"/>
  </w:num>
  <w:num w:numId="22" w16cid:durableId="980575733">
    <w:abstractNumId w:val="12"/>
  </w:num>
  <w:num w:numId="23" w16cid:durableId="544367432">
    <w:abstractNumId w:val="7"/>
  </w:num>
  <w:num w:numId="24" w16cid:durableId="1834250469">
    <w:abstractNumId w:val="13"/>
  </w:num>
  <w:num w:numId="25" w16cid:durableId="1688753300">
    <w:abstractNumId w:val="5"/>
  </w:num>
  <w:num w:numId="26" w16cid:durableId="1770345330">
    <w:abstractNumId w:val="15"/>
  </w:num>
  <w:num w:numId="27" w16cid:durableId="302121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8D4"/>
    <w:rsid w:val="00002938"/>
    <w:rsid w:val="00300350"/>
    <w:rsid w:val="00334A75"/>
    <w:rsid w:val="00361386"/>
    <w:rsid w:val="004561AC"/>
    <w:rsid w:val="00472540"/>
    <w:rsid w:val="00474323"/>
    <w:rsid w:val="004E4E72"/>
    <w:rsid w:val="004E6C41"/>
    <w:rsid w:val="005C44FE"/>
    <w:rsid w:val="00692644"/>
    <w:rsid w:val="006A5A9B"/>
    <w:rsid w:val="006E63C8"/>
    <w:rsid w:val="00781500"/>
    <w:rsid w:val="007D020F"/>
    <w:rsid w:val="0080697D"/>
    <w:rsid w:val="00830354"/>
    <w:rsid w:val="008F429C"/>
    <w:rsid w:val="00903D53"/>
    <w:rsid w:val="00956CCF"/>
    <w:rsid w:val="00A035D7"/>
    <w:rsid w:val="00A51B1E"/>
    <w:rsid w:val="00A70EAC"/>
    <w:rsid w:val="00B12FAD"/>
    <w:rsid w:val="00B23CC7"/>
    <w:rsid w:val="00BB3E50"/>
    <w:rsid w:val="00C06EF8"/>
    <w:rsid w:val="00C15C45"/>
    <w:rsid w:val="00CA5C18"/>
    <w:rsid w:val="00E465C9"/>
    <w:rsid w:val="00E54F53"/>
    <w:rsid w:val="00E578A5"/>
    <w:rsid w:val="00E6400D"/>
    <w:rsid w:val="00E91703"/>
    <w:rsid w:val="00FB3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DB0EC"/>
  <w15:chartTrackingRefBased/>
  <w15:docId w15:val="{45C488DE-E31C-424F-AA1F-004821F2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8D4"/>
    <w:pPr>
      <w:spacing w:after="5" w:line="247" w:lineRule="auto"/>
      <w:ind w:left="578" w:hanging="10"/>
      <w:jc w:val="both"/>
    </w:pPr>
    <w:rPr>
      <w:rFonts w:ascii="Arial" w:eastAsia="Arial" w:hAnsi="Arial" w:cs="Arial"/>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ayer 1 Bullet,Layer1_Bullet,List Paragraph_WEIL"/>
    <w:basedOn w:val="Normal"/>
    <w:uiPriority w:val="34"/>
    <w:qFormat/>
    <w:rsid w:val="00FB38D4"/>
    <w:pPr>
      <w:ind w:left="720"/>
      <w:contextualSpacing/>
    </w:pPr>
  </w:style>
  <w:style w:type="table" w:styleId="TableGrid">
    <w:name w:val="Table Grid"/>
    <w:basedOn w:val="TableNormal"/>
    <w:uiPriority w:val="39"/>
    <w:rsid w:val="00FB38D4"/>
    <w:pPr>
      <w:spacing w:after="0" w:line="240" w:lineRule="auto"/>
    </w:pPr>
    <w:rPr>
      <w:rFonts w:eastAsiaTheme="minorEastAsia"/>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B38D4"/>
    <w:rPr>
      <w:color w:val="0000FF"/>
      <w:u w:val="single"/>
    </w:rPr>
  </w:style>
  <w:style w:type="paragraph" w:styleId="BalloonText">
    <w:name w:val="Balloon Text"/>
    <w:basedOn w:val="Normal"/>
    <w:link w:val="BalloonTextChar"/>
    <w:uiPriority w:val="99"/>
    <w:semiHidden/>
    <w:unhideWhenUsed/>
    <w:rsid w:val="00B23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CC7"/>
    <w:rPr>
      <w:rFonts w:ascii="Segoe UI" w:eastAsia="Arial" w:hAnsi="Segoe UI" w:cs="Segoe UI"/>
      <w:color w:val="000000"/>
      <w:sz w:val="18"/>
      <w:szCs w:val="18"/>
      <w:lang w:eastAsia="en-GB"/>
    </w:rPr>
  </w:style>
  <w:style w:type="character" w:styleId="CommentReference">
    <w:name w:val="annotation reference"/>
    <w:basedOn w:val="DefaultParagraphFont"/>
    <w:uiPriority w:val="99"/>
    <w:semiHidden/>
    <w:unhideWhenUsed/>
    <w:rsid w:val="00334A75"/>
    <w:rPr>
      <w:sz w:val="16"/>
      <w:szCs w:val="16"/>
    </w:rPr>
  </w:style>
  <w:style w:type="paragraph" w:styleId="CommentText">
    <w:name w:val="annotation text"/>
    <w:basedOn w:val="Normal"/>
    <w:link w:val="CommentTextChar"/>
    <w:uiPriority w:val="99"/>
    <w:semiHidden/>
    <w:unhideWhenUsed/>
    <w:rsid w:val="00334A75"/>
    <w:pPr>
      <w:spacing w:line="240" w:lineRule="auto"/>
    </w:pPr>
    <w:rPr>
      <w:sz w:val="20"/>
      <w:szCs w:val="20"/>
    </w:rPr>
  </w:style>
  <w:style w:type="character" w:customStyle="1" w:styleId="CommentTextChar">
    <w:name w:val="Comment Text Char"/>
    <w:basedOn w:val="DefaultParagraphFont"/>
    <w:link w:val="CommentText"/>
    <w:uiPriority w:val="99"/>
    <w:semiHidden/>
    <w:rsid w:val="00334A75"/>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4A75"/>
    <w:rPr>
      <w:b/>
      <w:bCs/>
    </w:rPr>
  </w:style>
  <w:style w:type="character" w:customStyle="1" w:styleId="CommentSubjectChar">
    <w:name w:val="Comment Subject Char"/>
    <w:basedOn w:val="CommentTextChar"/>
    <w:link w:val="CommentSubject"/>
    <w:uiPriority w:val="99"/>
    <w:semiHidden/>
    <w:rsid w:val="00334A75"/>
    <w:rPr>
      <w:rFonts w:ascii="Arial" w:eastAsia="Arial" w:hAnsi="Arial" w:cs="Arial"/>
      <w:b/>
      <w:bCs/>
      <w:color w:val="000000"/>
      <w:sz w:val="20"/>
      <w:szCs w:val="20"/>
      <w:lang w:eastAsia="en-GB"/>
    </w:rPr>
  </w:style>
  <w:style w:type="paragraph" w:styleId="Revision">
    <w:name w:val="Revision"/>
    <w:hidden/>
    <w:uiPriority w:val="99"/>
    <w:semiHidden/>
    <w:rsid w:val="00334A75"/>
    <w:pPr>
      <w:spacing w:after="0" w:line="240" w:lineRule="auto"/>
    </w:pPr>
    <w:rPr>
      <w:rFonts w:ascii="Arial" w:eastAsia="Arial" w:hAnsi="Arial" w:cs="Arial"/>
      <w:color w:val="000000"/>
      <w:sz w:val="24"/>
      <w:lang w:eastAsia="en-GB"/>
    </w:rPr>
  </w:style>
  <w:style w:type="character" w:styleId="FollowedHyperlink">
    <w:name w:val="FollowedHyperlink"/>
    <w:basedOn w:val="DefaultParagraphFont"/>
    <w:uiPriority w:val="99"/>
    <w:semiHidden/>
    <w:unhideWhenUsed/>
    <w:rsid w:val="00C06EF8"/>
    <w:rPr>
      <w:color w:val="954F72" w:themeColor="followedHyperlink"/>
      <w:u w:val="single"/>
    </w:rPr>
  </w:style>
  <w:style w:type="paragraph" w:styleId="Header">
    <w:name w:val="header"/>
    <w:basedOn w:val="Normal"/>
    <w:link w:val="HeaderChar"/>
    <w:uiPriority w:val="99"/>
    <w:unhideWhenUsed/>
    <w:rsid w:val="008F4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29C"/>
    <w:rPr>
      <w:rFonts w:ascii="Arial" w:eastAsia="Arial" w:hAnsi="Arial" w:cs="Arial"/>
      <w:color w:val="000000"/>
      <w:sz w:val="24"/>
      <w:lang w:eastAsia="en-GB"/>
    </w:rPr>
  </w:style>
  <w:style w:type="paragraph" w:styleId="Footer">
    <w:name w:val="footer"/>
    <w:basedOn w:val="Normal"/>
    <w:link w:val="FooterChar"/>
    <w:uiPriority w:val="99"/>
    <w:unhideWhenUsed/>
    <w:rsid w:val="008F4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29C"/>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02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ipfa.org/policy-and-guidance/publications/t/treasury-management-in-the-public-services-code-of-practice-and-crosssectoral-guidance-notes-2011-editio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0624E-AEC4-4225-AA65-C6BAEAB4A949}"/>
</file>

<file path=customXml/itemProps2.xml><?xml version="1.0" encoding="utf-8"?>
<ds:datastoreItem xmlns:ds="http://schemas.openxmlformats.org/officeDocument/2006/customXml" ds:itemID="{30EF587C-7221-4008-A2F4-DDB7C9BE89FA}">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 ds:uri="fb421853-688c-4895-9bf8-6bc14ea16dd3"/>
    <ds:schemaRef ds:uri="75f017ce-8fe9-4f14-bafe-74422bb7015b"/>
    <ds:schemaRef ds:uri="http://www.w3.org/XML/1998/namespace"/>
    <ds:schemaRef ds:uri="http://purl.org/dc/elements/1.1/"/>
  </ds:schemaRefs>
</ds:datastoreItem>
</file>

<file path=customXml/itemProps3.xml><?xml version="1.0" encoding="utf-8"?>
<ds:datastoreItem xmlns:ds="http://schemas.openxmlformats.org/officeDocument/2006/customXml" ds:itemID="{B6DDC53F-7432-4AD9-AABE-E1C461223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Northants County Council</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fcoates</dc:creator>
  <cp:keywords/>
  <dc:description/>
  <cp:lastModifiedBy>Sharon Grimshaw</cp:lastModifiedBy>
  <cp:revision>2</cp:revision>
  <dcterms:created xsi:type="dcterms:W3CDTF">2024-10-23T12:05:00Z</dcterms:created>
  <dcterms:modified xsi:type="dcterms:W3CDTF">2024-10-23T12:05:00Z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